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jc w:val="center"/>
        <w:rPr>
          <w:rFonts w:ascii="微软雅黑" w:hAnsi="微软雅黑" w:eastAsia="微软雅黑" w:cs="微软雅黑"/>
          <w:sz w:val="30"/>
          <w:szCs w:val="30"/>
        </w:rPr>
      </w:pPr>
      <w:bookmarkStart w:id="0" w:name="_Toc529476666"/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国家税务总局辽宁省电子税务局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outlineLvl w:val="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快速操作指引</w:t>
      </w:r>
    </w:p>
    <w:p>
      <w:pPr>
        <w:pStyle w:val="11"/>
        <w:rPr>
          <w:rFonts w:cs="微软雅黑" w:asciiTheme="minorEastAsia" w:hAnsiTheme="minorEastAsia" w:eastAsiaTheme="minorEastAsia"/>
        </w:rPr>
      </w:pPr>
      <w:r>
        <w:rPr>
          <w:rFonts w:hint="eastAsia" w:ascii="黑体" w:hAnsi="黑体" w:eastAsia="黑体" w:cs="黑体"/>
        </w:rPr>
        <w:t>一、注册及登录</w:t>
      </w:r>
      <w:bookmarkEnd w:id="0"/>
      <w:r>
        <w:rPr>
          <w:rFonts w:hint="eastAsia" w:ascii="黑体" w:hAnsi="黑体" w:eastAsia="黑体" w:cs="黑体"/>
        </w:rPr>
        <w:t>路径</w:t>
      </w:r>
    </w:p>
    <w:p>
      <w:pPr>
        <w:spacing w:line="44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登录国家税务总局辽宁省电子税务局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登录方式:</w:t>
      </w:r>
    </w:p>
    <w:p>
      <w:pPr>
        <w:spacing w:line="440" w:lineRule="exact"/>
        <w:ind w:firstLine="640" w:firstLineChars="200"/>
        <w:rPr>
          <w:rFonts w:cs="微软雅黑" w:asciiTheme="minorEastAsia" w:hAnsiTheme="minorEastAsia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使用域名网址登录。</w:t>
      </w:r>
      <w:r>
        <w:rPr>
          <w:rStyle w:val="14"/>
          <w:rFonts w:hint="eastAsia" w:ascii="仿宋_GB2312" w:hAnsi="仿宋_GB2312" w:eastAsia="仿宋_GB2312" w:cs="仿宋_GB2312"/>
          <w:sz w:val="32"/>
          <w:szCs w:val="32"/>
        </w:rPr>
        <w:t>https://dzswj.ln-n-tax.gov.cn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（建议收藏使用）。</w:t>
      </w:r>
    </w:p>
    <w:p>
      <w:pPr>
        <w:ind w:firstLine="420" w:firstLineChars="200"/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ascii="微软雅黑" w:hAnsi="微软雅黑" w:eastAsia="微软雅黑" w:cs="微软雅黑"/>
          <w:color w:val="FF0000"/>
          <w:szCs w:val="21"/>
        </w:rPr>
        <w:drawing>
          <wp:inline distT="0" distB="0" distL="0" distR="0">
            <wp:extent cx="4972050" cy="2464435"/>
            <wp:effectExtent l="1905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494" cy="24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rFonts w:cs="微软雅黑" w:asciiTheme="minorEastAsia" w:hAnsiTheme="minorEastAsia" w:eastAsiaTheme="minorEastAsia"/>
        </w:rPr>
      </w:pPr>
      <w:r>
        <w:rPr>
          <w:rFonts w:hint="eastAsia" w:ascii="黑体" w:hAnsi="黑体" w:eastAsia="黑体" w:cs="黑体"/>
        </w:rPr>
        <w:t>二、注册及登录方式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辽宁省电子税务局支持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用户登录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、短信登录和自然人登录。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drawing>
          <wp:inline distT="0" distB="0" distL="0" distR="0">
            <wp:extent cx="5274310" cy="213360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40" w:lineRule="exact"/>
        <w:ind w:firstLine="643" w:firstLineChars="200"/>
        <w:rPr>
          <w:rFonts w:hint="eastAsia" w:ascii="楷体_GB2312" w:hAnsi="楷体_GB2312" w:eastAsia="楷体_GB2312" w:cs="楷体_GB2312"/>
          <w:bCs/>
          <w:kern w:val="2"/>
          <w:sz w:val="32"/>
          <w:szCs w:val="32"/>
          <w:lang w:eastAsia="zh-CN"/>
        </w:rPr>
      </w:pPr>
      <w:bookmarkStart w:id="1" w:name="_Toc529476667"/>
      <w:r>
        <w:rPr>
          <w:rFonts w:hint="eastAsia" w:ascii="楷体_GB2312" w:hAnsi="楷体_GB2312" w:eastAsia="楷体_GB2312" w:cs="楷体_GB2312"/>
          <w:bCs/>
          <w:kern w:val="2"/>
          <w:sz w:val="32"/>
          <w:szCs w:val="32"/>
        </w:rPr>
        <w:t>（一）企业用户登录</w:t>
      </w:r>
      <w:bookmarkEnd w:id="1"/>
      <w:r>
        <w:rPr>
          <w:rFonts w:hint="eastAsia" w:ascii="楷体_GB2312" w:hAnsi="楷体_GB2312" w:eastAsia="楷体_GB2312" w:cs="楷体_GB2312"/>
          <w:bCs/>
          <w:kern w:val="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Cs/>
          <w:kern w:val="2"/>
          <w:sz w:val="32"/>
          <w:szCs w:val="32"/>
          <w:lang w:val="en-US" w:eastAsia="zh-CN"/>
        </w:rPr>
        <w:t>仅限试点期间</w:t>
      </w:r>
      <w:r>
        <w:rPr>
          <w:rFonts w:hint="eastAsia" w:ascii="楷体_GB2312" w:hAnsi="楷体_GB2312" w:eastAsia="楷体_GB2312" w:cs="楷体_GB2312"/>
          <w:bCs/>
          <w:kern w:val="2"/>
          <w:sz w:val="32"/>
          <w:szCs w:val="32"/>
          <w:lang w:eastAsia="zh-CN"/>
        </w:rPr>
        <w:t>）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单位纳税人支持社会信用代码及纳税人识别号方式登录。</w:t>
      </w:r>
    </w:p>
    <w:p>
      <w:pPr>
        <w:spacing w:line="440" w:lineRule="exact"/>
        <w:ind w:firstLine="640" w:firstLineChars="200"/>
        <w:rPr>
          <w:rFonts w:hint="eastAsia" w:eastAsia="仿宋_GB2312" w:cs="微软雅黑" w:asciiTheme="minorEastAsia" w:hAnsiTheme="minorEastAsia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首次登录后，请及时修改登录密码。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数字+字母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）</w:t>
      </w:r>
    </w:p>
    <w:p>
      <w:pPr>
        <w:pStyle w:val="2"/>
        <w:spacing w:line="440" w:lineRule="exact"/>
        <w:ind w:firstLine="643" w:firstLineChars="200"/>
        <w:rPr>
          <w:rFonts w:hint="eastAsia" w:cs="微软雅黑" w:asciiTheme="minorEastAsia" w:hAnsiTheme="minorEastAsia"/>
          <w:bCs/>
          <w:kern w:val="2"/>
          <w:sz w:val="32"/>
          <w:szCs w:val="32"/>
        </w:rPr>
      </w:pPr>
      <w:bookmarkStart w:id="2" w:name="_Toc529476668"/>
      <w:r>
        <w:rPr>
          <w:rFonts w:hint="eastAsia" w:ascii="楷体_GB2312" w:hAnsi="楷体_GB2312" w:eastAsia="楷体_GB2312" w:cs="楷体_GB2312"/>
          <w:bCs/>
          <w:kern w:val="2"/>
          <w:sz w:val="32"/>
          <w:szCs w:val="32"/>
        </w:rPr>
        <w:t>（二）短信登录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cs="微软雅黑" w:asciiTheme="minorEastAsia" w:hAnsiTheme="minorEastAsia"/>
          <w:bCs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实名用户通过输入纳税人识别号、手机号码，获取短信验证码后进行登录。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942465"/>
            <wp:effectExtent l="19050" t="0" r="254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40" w:lineRule="exact"/>
        <w:ind w:firstLine="643" w:firstLineChars="200"/>
        <w:rPr>
          <w:rFonts w:cs="微软雅黑" w:asciiTheme="minorEastAsia" w:hAnsiTheme="minorEastAsia"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kern w:val="2"/>
          <w:sz w:val="32"/>
          <w:szCs w:val="32"/>
        </w:rPr>
        <w:t>（三）自然人登录</w:t>
      </w:r>
      <w:bookmarkEnd w:id="2"/>
    </w:p>
    <w:p>
      <w:pPr>
        <w:spacing w:line="440" w:lineRule="exact"/>
        <w:ind w:firstLine="640" w:firstLineChars="200"/>
        <w:rPr>
          <w:rFonts w:hint="eastAsia" w:cs="微软雅黑" w:asciiTheme="minorEastAsia" w:hAnsiTheme="minorEastAsia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自然人通过输入用户注册名及密码进行登录。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079365" cy="2003425"/>
            <wp:effectExtent l="19050" t="0" r="6627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211" cy="200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rFonts w:cs="微软雅黑" w:asciiTheme="minorEastAsia" w:hAnsiTheme="minorEastAsia" w:eastAsiaTheme="minorEastAsia"/>
        </w:rPr>
      </w:pPr>
      <w:bookmarkStart w:id="3" w:name="_Toc529476669"/>
      <w:r>
        <w:rPr>
          <w:rFonts w:hint="eastAsia" w:ascii="黑体" w:hAnsi="黑体" w:eastAsia="黑体" w:cs="黑体"/>
        </w:rPr>
        <w:t>三、新版主界面</w:t>
      </w:r>
      <w:bookmarkEnd w:id="3"/>
      <w:r>
        <w:rPr>
          <w:rFonts w:hint="eastAsia" w:ascii="黑体" w:hAnsi="黑体" w:eastAsia="黑体" w:cs="黑体"/>
        </w:rPr>
        <w:t>介绍</w:t>
      </w:r>
    </w:p>
    <w:p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登录后页面分为页头和内容区两部分。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073275"/>
            <wp:effectExtent l="19050" t="0" r="2540" b="0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页头是搜索和退出等功能。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424180"/>
            <wp:effectExtent l="19050" t="0" r="254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587500"/>
            <wp:effectExtent l="19050" t="0" r="2540" b="0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查询出的搜索结果，将鼠标移动上去，可以显示出对应功能的完整功能名称。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920875"/>
            <wp:effectExtent l="19050" t="0" r="2540" b="0"/>
            <wp:docPr id="6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点击进入后，可在上方查看完整功能路径。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976755"/>
            <wp:effectExtent l="19050" t="0" r="2540" b="0"/>
            <wp:docPr id="6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内容区分为左列的功能区、上方的办税区和下方的消息区。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上方的办税区进行涉税业务的办理，查询区进行涉税业务的查询等等。点击相应进入模块，如图所示：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92913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84721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下方的消息区为三个模块，“我的待办”、“服务提醒”、“通知公告”。“我的待办”涵盖了纳税人征期内未申报等待办事项，“服务提醒”涵盖了纳税人申请发起的涉税实现处理进度等，“通知公告”涵盖了辽宁税务对纳税人发布的公告通知内容等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64401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左侧的功能区分为“常用功能”、“套餐业务”、“特色业务”。常用功能模块，纳税人通过“设置”按钮，可以编辑增加自己的常用功能，以便后期使用。“套餐业务”、“特色业务”为辽宁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税务</w:t>
      </w:r>
      <w:bookmarkStart w:id="11" w:name="_GoBack"/>
      <w:bookmarkEnd w:id="11"/>
      <w:r>
        <w:rPr>
          <w:rFonts w:hint="eastAsia" w:ascii="仿宋_GB2312" w:hAnsi="仿宋_GB2312" w:eastAsia="仿宋_GB2312" w:cs="仿宋_GB2312"/>
          <w:bCs/>
          <w:sz w:val="32"/>
          <w:szCs w:val="32"/>
        </w:rPr>
        <w:t>为纳税人提供的一些主要的固有或特有功能。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45923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643" w:firstLineChars="200"/>
        <w:rPr>
          <w:rFonts w:cs="微软雅黑" w:asciiTheme="minorEastAsia" w:hAnsiTheme="minorEastAsia" w:eastAsiaTheme="minorEastAsia"/>
        </w:rPr>
      </w:pPr>
      <w:r>
        <w:rPr>
          <w:rFonts w:hint="eastAsia" w:ascii="黑体" w:hAnsi="黑体" w:eastAsia="黑体" w:cs="黑体"/>
        </w:rPr>
        <w:t>四、新增及优化的主要功能介绍</w:t>
      </w:r>
      <w:bookmarkStart w:id="4" w:name="_Toc529476671"/>
    </w:p>
    <w:p>
      <w:pPr>
        <w:pStyle w:val="2"/>
        <w:spacing w:line="440" w:lineRule="exact"/>
        <w:ind w:firstLine="643" w:firstLineChars="200"/>
        <w:rPr>
          <w:rFonts w:cs="微软雅黑" w:asciiTheme="minorEastAsia" w:hAnsiTheme="minorEastAsia"/>
          <w:bCs/>
          <w:kern w:val="2"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kern w:val="2"/>
          <w:sz w:val="32"/>
          <w:szCs w:val="32"/>
        </w:rPr>
        <w:t>（一）</w:t>
      </w:r>
      <w:bookmarkEnd w:id="4"/>
      <w:r>
        <w:rPr>
          <w:rFonts w:hint="eastAsia" w:ascii="楷体_GB2312" w:hAnsi="楷体_GB2312" w:eastAsia="楷体_GB2312" w:cs="楷体_GB2312"/>
          <w:bCs/>
          <w:kern w:val="2"/>
          <w:sz w:val="32"/>
          <w:szCs w:val="32"/>
        </w:rPr>
        <w:t>用户中心</w:t>
      </w:r>
    </w:p>
    <w:p>
      <w:pPr>
        <w:spacing w:line="440" w:lineRule="exact"/>
        <w:ind w:firstLine="640" w:firstLineChars="200"/>
        <w:rPr>
          <w:rFonts w:cs="微软雅黑" w:asciiTheme="minorEastAsia" w:hAnsiTheme="minorEastAsia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纳税人通过点击“用户中心”实现对自身基本信息、平台信息的管理和查看。目前包括纳税人信息、电子资料、用户管理等大类。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71577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40" w:lineRule="exact"/>
        <w:ind w:firstLine="643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bookmarkStart w:id="5" w:name="_Toc529476683"/>
      <w:r>
        <w:rPr>
          <w:rFonts w:hint="eastAsia" w:ascii="楷体_GB2312" w:hAnsi="楷体_GB2312" w:eastAsia="楷体_GB2312" w:cs="楷体_GB2312"/>
          <w:sz w:val="32"/>
          <w:szCs w:val="32"/>
        </w:rPr>
        <w:t>（二）我要办税</w:t>
      </w:r>
      <w:bookmarkEnd w:id="5"/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纳税人通过登陆“我要办税”发起业务办理申请，实现</w:t>
      </w:r>
      <w:r>
        <w:rPr>
          <w:rFonts w:hint="eastAsia" w:ascii="仿宋_GB2312" w:hAnsi="仿宋_GB2312" w:eastAsia="仿宋_GB2312" w:cs="仿宋_GB2312"/>
          <w:sz w:val="32"/>
          <w:szCs w:val="32"/>
        </w:rPr>
        <w:t>综合信息报告、发票使用、税费申报与缴纳、税收减免、证明开具、税务行政许可、核定管理、一般退（抵）税管理、出口退税管理、增值税抵扣凭证管理、纳税信用、涉税专业服务机构管理、服务事项、风险管理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等各类涉税事项的网上办理。</w:t>
      </w:r>
    </w:p>
    <w:p>
      <w:pPr>
        <w:pStyle w:val="18"/>
        <w:jc w:val="both"/>
        <w:rPr>
          <w:rFonts w:hAnsi="黑体" w:cs="仿宋"/>
          <w:bCs/>
          <w:color w:val="auto"/>
          <w:sz w:val="28"/>
          <w:szCs w:val="28"/>
        </w:rPr>
      </w:pPr>
      <w:r>
        <w:rPr>
          <w:rFonts w:hint="eastAsia" w:hAnsi="黑体" w:cs="仿宋"/>
          <w:bCs/>
          <w:sz w:val="28"/>
          <w:szCs w:val="28"/>
        </w:rPr>
        <w:drawing>
          <wp:inline distT="0" distB="0" distL="0" distR="0">
            <wp:extent cx="5274310" cy="204470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Fonts w:ascii="仿宋" w:hAnsi="仿宋" w:eastAsia="仿宋" w:cs="仿宋"/>
          <w:szCs w:val="44"/>
        </w:rPr>
      </w:pPr>
      <w:bookmarkStart w:id="6" w:name="_Toc52947688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例如：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税费申报-增值税一般纳税人申报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【进入路径】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①首页→〖我要办税〗→〖税费申报及缴纳〗→〖增值税及附加税费申报〗→〖增值税一般纳税人申报〗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【功能界面】</w:t>
      </w:r>
    </w:p>
    <w:p>
      <w:pPr>
        <w:widowControl/>
        <w:shd w:val="clear" w:color="auto" w:fill="FFFFFF"/>
        <w:jc w:val="left"/>
        <w:rPr>
          <w:rFonts w:ascii="微软雅黑" w:hAnsi="微软雅黑" w:eastAsia="微软雅黑" w:cs="微软雅黑"/>
          <w:color w:val="525252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525252"/>
          <w:kern w:val="0"/>
          <w:sz w:val="18"/>
          <w:szCs w:val="18"/>
        </w:rPr>
        <w:drawing>
          <wp:inline distT="0" distB="0" distL="0" distR="0">
            <wp:extent cx="5274310" cy="252984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06692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②直接在搜索功能里面搜索关键字“增值税”，在【搜索结果】下方选择对应的【增值税一般申报】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outlineLvl w:val="9"/>
        <w:rPr>
          <w:rFonts w:cs="微软雅黑" w:asciiTheme="minorEastAsia" w:hAnsiTheme="minor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搜索界面：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646045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szCs w:val="32"/>
        </w:rPr>
      </w:pPr>
      <w:bookmarkStart w:id="7" w:name="_Toc529476757"/>
      <w:r>
        <w:rPr>
          <w:rFonts w:hint="eastAsia" w:ascii="仿宋_GB2312" w:hAnsi="仿宋_GB2312" w:eastAsia="仿宋_GB2312" w:cs="仿宋_GB2312"/>
          <w:b w:val="0"/>
          <w:szCs w:val="32"/>
        </w:rPr>
        <w:t>发票使用操作说明--</w:t>
      </w:r>
      <w:r>
        <w:rPr>
          <w:rFonts w:hint="eastAsia" w:ascii="仿宋_GB2312" w:hAnsi="仿宋_GB2312" w:eastAsia="仿宋_GB2312" w:cs="仿宋_GB2312"/>
          <w:b w:val="0"/>
          <w:bCs/>
          <w:szCs w:val="32"/>
        </w:rPr>
        <w:t>发票</w:t>
      </w:r>
      <w:bookmarkEnd w:id="7"/>
      <w:r>
        <w:rPr>
          <w:rFonts w:hint="eastAsia" w:ascii="仿宋_GB2312" w:hAnsi="仿宋_GB2312" w:eastAsia="仿宋_GB2312" w:cs="仿宋_GB2312"/>
          <w:b w:val="0"/>
          <w:bCs/>
          <w:szCs w:val="32"/>
        </w:rPr>
        <w:t>票种核定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【模块说明】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纳税人发票票种核定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【进入路径】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①首页→〖我要办税〗→〖发票使用〗→〖发票票种核定〗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【功能界面】</w:t>
      </w:r>
    </w:p>
    <w:p>
      <w:pPr>
        <w:widowControl/>
        <w:shd w:val="clear" w:color="auto" w:fill="FFFFFF"/>
        <w:spacing w:line="480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9903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②直接在搜索功能里面搜索关键字“发票”，在【搜索结果】下方选择对应的【发票票种核定】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搜索界面：</w:t>
      </w:r>
    </w:p>
    <w:p>
      <w:pPr>
        <w:widowControl/>
        <w:shd w:val="clear" w:color="auto" w:fill="FFFFFF"/>
        <w:spacing w:line="480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110740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left"/>
        <w:rPr>
          <w:rFonts w:ascii="仿宋" w:hAnsi="仿宋" w:eastAsia="仿宋"/>
          <w:sz w:val="28"/>
          <w:szCs w:val="28"/>
        </w:rPr>
      </w:pPr>
    </w:p>
    <w:p>
      <w:pPr>
        <w:widowControl/>
        <w:shd w:val="clear" w:color="auto" w:fill="FFFFFF"/>
        <w:spacing w:line="480" w:lineRule="auto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138420" cy="1868805"/>
            <wp:effectExtent l="19050" t="0" r="5080" b="0"/>
            <wp:docPr id="100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5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701" t="7614" r="4521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128895" cy="1769110"/>
            <wp:effectExtent l="19050" t="0" r="0" b="0"/>
            <wp:docPr id="103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535" r="4704" b="5212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67960" cy="1828800"/>
            <wp:effectExtent l="19050" t="0" r="8890" b="0"/>
            <wp:docPr id="106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left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1135" cy="1697990"/>
            <wp:effectExtent l="19050" t="0" r="5715" b="0"/>
            <wp:docPr id="109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5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uto"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67325" cy="1752600"/>
            <wp:effectExtent l="19050" t="0" r="9525" b="0"/>
            <wp:docPr id="112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40" w:lineRule="exact"/>
        <w:ind w:firstLine="643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（三）查询中心（我要查询）</w:t>
      </w:r>
      <w:bookmarkEnd w:id="6"/>
    </w:p>
    <w:p>
      <w:pPr>
        <w:pStyle w:val="18"/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查询中心目前涵盖了办税进度及结果信息查询、发票信息查询、申报信息查询、缴款信息查询、欠税信息查询、优惠信息查询、个体工商户核定定额信息查询、证明信息查询、涉税中介机构信息查询、纳税信用状态信息查询、违法违章信息查询、历史办税操作查询、应申报清册查询、邮寄信息统计查询、物流信息查询、财务会计制度备案查询、失信行为查询等功能。</w:t>
      </w:r>
    </w:p>
    <w:p>
      <w:pPr>
        <w:spacing w:line="44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搜索界面：</w:t>
      </w:r>
    </w:p>
    <w:p>
      <w:pPr>
        <w:widowControl/>
        <w:shd w:val="clear" w:color="auto" w:fill="FFFFFF"/>
        <w:spacing w:line="480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218884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40" w:lineRule="exact"/>
        <w:ind w:firstLine="643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bookmarkStart w:id="8" w:name="_Toc529476907"/>
      <w:r>
        <w:rPr>
          <w:rFonts w:hint="eastAsia" w:ascii="楷体_GB2312" w:hAnsi="楷体_GB2312" w:eastAsia="楷体_GB2312" w:cs="楷体_GB2312"/>
          <w:sz w:val="32"/>
          <w:szCs w:val="32"/>
        </w:rPr>
        <w:t>（四）互动中心</w:t>
      </w:r>
      <w:bookmarkEnd w:id="8"/>
    </w:p>
    <w:p>
      <w:pPr>
        <w:pStyle w:val="18"/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 xml:space="preserve">互动中心为纳税人与税务机关实现互联互通、在线交互。目前主要提供我的消息、预约办税、在线交互、纳税人满意度调查、权益保护等功能。 </w:t>
      </w:r>
      <w:bookmarkStart w:id="9" w:name="_Toc529476927"/>
    </w:p>
    <w:p>
      <w:pPr>
        <w:rPr>
          <w:rFonts w:hint="eastAsia" w:ascii="仿宋_GB2312" w:hAnsi="仿宋_GB2312" w:eastAsia="仿宋_GB2312" w:cs="仿宋_GB2312"/>
        </w:rPr>
      </w:pPr>
    </w:p>
    <w:p>
      <w:r>
        <w:drawing>
          <wp:inline distT="0" distB="0" distL="0" distR="0">
            <wp:extent cx="5274310" cy="211391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440" w:lineRule="exact"/>
        <w:ind w:firstLine="643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（五）公众服务</w:t>
      </w:r>
      <w:bookmarkEnd w:id="9"/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公众服务主要是一些无需登录即可查看的功能。目前包括通知公告、咨询辅导、公众查询等大类。</w:t>
      </w:r>
    </w:p>
    <w:p>
      <w:r>
        <w:drawing>
          <wp:inline distT="0" distB="0" distL="0" distR="0">
            <wp:extent cx="5274310" cy="2150745"/>
            <wp:effectExtent l="19050" t="0" r="2540" b="0"/>
            <wp:docPr id="6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0" w:name="_Toc529476954"/>
    </w:p>
    <w:p>
      <w:pPr>
        <w:pStyle w:val="2"/>
        <w:spacing w:line="440" w:lineRule="exact"/>
        <w:ind w:firstLine="643" w:firstLineChars="200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（六）个性化办税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个性化办税主要为纳税提供个性化功能。目前包括套餐及组合业务、特色业务、定制业务等大类。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05232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bookmarkEnd w:id="10"/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如果各位在操作使用上还有什么问题可咨询12366，电子税务局将不断增加和优化功能模块，我们也会持续为您更新操作指引。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1BF2733E"/>
    <w:rsid w:val="00046F43"/>
    <w:rsid w:val="000542D9"/>
    <w:rsid w:val="000A6AA7"/>
    <w:rsid w:val="000F4E75"/>
    <w:rsid w:val="001701C9"/>
    <w:rsid w:val="00322128"/>
    <w:rsid w:val="00383983"/>
    <w:rsid w:val="003B0E8C"/>
    <w:rsid w:val="004A21D1"/>
    <w:rsid w:val="00533F9E"/>
    <w:rsid w:val="005A2A35"/>
    <w:rsid w:val="005E5E86"/>
    <w:rsid w:val="00632863"/>
    <w:rsid w:val="00633C37"/>
    <w:rsid w:val="006F2A45"/>
    <w:rsid w:val="00715FBE"/>
    <w:rsid w:val="007912BE"/>
    <w:rsid w:val="007F337E"/>
    <w:rsid w:val="00883BA8"/>
    <w:rsid w:val="00900BED"/>
    <w:rsid w:val="00934F97"/>
    <w:rsid w:val="00975C7C"/>
    <w:rsid w:val="0099750D"/>
    <w:rsid w:val="00997EB3"/>
    <w:rsid w:val="00A079B8"/>
    <w:rsid w:val="00A25F86"/>
    <w:rsid w:val="00A35D09"/>
    <w:rsid w:val="00A63739"/>
    <w:rsid w:val="00A86651"/>
    <w:rsid w:val="00AC6E00"/>
    <w:rsid w:val="00B74DEC"/>
    <w:rsid w:val="00B877CC"/>
    <w:rsid w:val="00B93BE0"/>
    <w:rsid w:val="00BE28EA"/>
    <w:rsid w:val="00C243BE"/>
    <w:rsid w:val="00CB3332"/>
    <w:rsid w:val="00D22C3A"/>
    <w:rsid w:val="00D540C7"/>
    <w:rsid w:val="00D928EA"/>
    <w:rsid w:val="00E208D1"/>
    <w:rsid w:val="00E230D9"/>
    <w:rsid w:val="00EA18B5"/>
    <w:rsid w:val="00EF0571"/>
    <w:rsid w:val="00FA3B34"/>
    <w:rsid w:val="0168587B"/>
    <w:rsid w:val="031D40D9"/>
    <w:rsid w:val="03570728"/>
    <w:rsid w:val="035B501A"/>
    <w:rsid w:val="03845660"/>
    <w:rsid w:val="03A2271B"/>
    <w:rsid w:val="03A670A8"/>
    <w:rsid w:val="03B76B40"/>
    <w:rsid w:val="04EC0499"/>
    <w:rsid w:val="04EF54FA"/>
    <w:rsid w:val="062A265C"/>
    <w:rsid w:val="069C42A1"/>
    <w:rsid w:val="07D83577"/>
    <w:rsid w:val="08CE0C24"/>
    <w:rsid w:val="0928358E"/>
    <w:rsid w:val="09605FFB"/>
    <w:rsid w:val="0BD562D9"/>
    <w:rsid w:val="0BE659B9"/>
    <w:rsid w:val="0C655B20"/>
    <w:rsid w:val="0CE31961"/>
    <w:rsid w:val="0D71763A"/>
    <w:rsid w:val="0F9B5474"/>
    <w:rsid w:val="104F3AD8"/>
    <w:rsid w:val="105E75E8"/>
    <w:rsid w:val="11E74F68"/>
    <w:rsid w:val="11EF66E7"/>
    <w:rsid w:val="11F53350"/>
    <w:rsid w:val="12C90B50"/>
    <w:rsid w:val="130B114E"/>
    <w:rsid w:val="13160CCE"/>
    <w:rsid w:val="138A6222"/>
    <w:rsid w:val="1528669A"/>
    <w:rsid w:val="15B96B29"/>
    <w:rsid w:val="164A4519"/>
    <w:rsid w:val="16D3172D"/>
    <w:rsid w:val="178031C8"/>
    <w:rsid w:val="1799342C"/>
    <w:rsid w:val="1806251F"/>
    <w:rsid w:val="18BB72BF"/>
    <w:rsid w:val="190C1AC7"/>
    <w:rsid w:val="1923026F"/>
    <w:rsid w:val="19F83521"/>
    <w:rsid w:val="1A3C0AC9"/>
    <w:rsid w:val="1AEF2384"/>
    <w:rsid w:val="1B96452B"/>
    <w:rsid w:val="1BB60FA8"/>
    <w:rsid w:val="1BF2733E"/>
    <w:rsid w:val="1C7B4663"/>
    <w:rsid w:val="1CA3139D"/>
    <w:rsid w:val="1CE37B75"/>
    <w:rsid w:val="1DB94FBC"/>
    <w:rsid w:val="1DE94DA1"/>
    <w:rsid w:val="1EF45DD5"/>
    <w:rsid w:val="204E6058"/>
    <w:rsid w:val="206A6A4E"/>
    <w:rsid w:val="20AD23A3"/>
    <w:rsid w:val="21187216"/>
    <w:rsid w:val="216441FD"/>
    <w:rsid w:val="21A56C59"/>
    <w:rsid w:val="21D74809"/>
    <w:rsid w:val="22B9598B"/>
    <w:rsid w:val="22D84EB6"/>
    <w:rsid w:val="230C52A7"/>
    <w:rsid w:val="23B84E62"/>
    <w:rsid w:val="23D162D3"/>
    <w:rsid w:val="242F6353"/>
    <w:rsid w:val="2448460D"/>
    <w:rsid w:val="2580046C"/>
    <w:rsid w:val="25A36EBE"/>
    <w:rsid w:val="25D82A12"/>
    <w:rsid w:val="26BD34B3"/>
    <w:rsid w:val="27F353EC"/>
    <w:rsid w:val="28C31DD0"/>
    <w:rsid w:val="292B2C70"/>
    <w:rsid w:val="29A10006"/>
    <w:rsid w:val="2AE37270"/>
    <w:rsid w:val="2AEE0C2E"/>
    <w:rsid w:val="2BAB1DAD"/>
    <w:rsid w:val="2CE826F8"/>
    <w:rsid w:val="2E16608B"/>
    <w:rsid w:val="2FA10943"/>
    <w:rsid w:val="2FF80052"/>
    <w:rsid w:val="303F6BF5"/>
    <w:rsid w:val="316A7A75"/>
    <w:rsid w:val="31E5315F"/>
    <w:rsid w:val="32512142"/>
    <w:rsid w:val="3260084C"/>
    <w:rsid w:val="332C6403"/>
    <w:rsid w:val="33977650"/>
    <w:rsid w:val="33C05ABF"/>
    <w:rsid w:val="33CD2F6D"/>
    <w:rsid w:val="347B15F2"/>
    <w:rsid w:val="357674CF"/>
    <w:rsid w:val="358D6190"/>
    <w:rsid w:val="36BB1AA7"/>
    <w:rsid w:val="37CA3399"/>
    <w:rsid w:val="38CA6FB4"/>
    <w:rsid w:val="39EB5B62"/>
    <w:rsid w:val="3A195BF6"/>
    <w:rsid w:val="3A4450BC"/>
    <w:rsid w:val="3BA61554"/>
    <w:rsid w:val="3D6F5E70"/>
    <w:rsid w:val="3E514BF2"/>
    <w:rsid w:val="3F23750F"/>
    <w:rsid w:val="3FF56062"/>
    <w:rsid w:val="40805E9B"/>
    <w:rsid w:val="428D707A"/>
    <w:rsid w:val="433D26D2"/>
    <w:rsid w:val="435442EC"/>
    <w:rsid w:val="43F47387"/>
    <w:rsid w:val="44E8309E"/>
    <w:rsid w:val="451362E6"/>
    <w:rsid w:val="45483D8D"/>
    <w:rsid w:val="45D743F7"/>
    <w:rsid w:val="46432606"/>
    <w:rsid w:val="49AA22EE"/>
    <w:rsid w:val="4CEA06C4"/>
    <w:rsid w:val="4D213346"/>
    <w:rsid w:val="4D947EAF"/>
    <w:rsid w:val="4DCC2F7D"/>
    <w:rsid w:val="4E614A40"/>
    <w:rsid w:val="50014F45"/>
    <w:rsid w:val="50CA5BB3"/>
    <w:rsid w:val="5107534F"/>
    <w:rsid w:val="513100E1"/>
    <w:rsid w:val="515746FE"/>
    <w:rsid w:val="515A3DD9"/>
    <w:rsid w:val="52216B23"/>
    <w:rsid w:val="52A9473A"/>
    <w:rsid w:val="52B3384D"/>
    <w:rsid w:val="5345365F"/>
    <w:rsid w:val="54AA5165"/>
    <w:rsid w:val="55332A8C"/>
    <w:rsid w:val="55502C62"/>
    <w:rsid w:val="55B9014A"/>
    <w:rsid w:val="580D4710"/>
    <w:rsid w:val="594E6E2D"/>
    <w:rsid w:val="5984529C"/>
    <w:rsid w:val="599A051A"/>
    <w:rsid w:val="59C937B8"/>
    <w:rsid w:val="5A24565E"/>
    <w:rsid w:val="5A2946E7"/>
    <w:rsid w:val="5A5B01C8"/>
    <w:rsid w:val="5AE562BE"/>
    <w:rsid w:val="5BE02D42"/>
    <w:rsid w:val="5C1B7670"/>
    <w:rsid w:val="5C750A03"/>
    <w:rsid w:val="5CA5031C"/>
    <w:rsid w:val="5CD16B38"/>
    <w:rsid w:val="5E4C4226"/>
    <w:rsid w:val="5E656507"/>
    <w:rsid w:val="5F587CA2"/>
    <w:rsid w:val="60693340"/>
    <w:rsid w:val="60D85069"/>
    <w:rsid w:val="61350ADA"/>
    <w:rsid w:val="623E66EF"/>
    <w:rsid w:val="624D2A67"/>
    <w:rsid w:val="62592BAC"/>
    <w:rsid w:val="62BF2B44"/>
    <w:rsid w:val="62C370A1"/>
    <w:rsid w:val="63D51AF7"/>
    <w:rsid w:val="64EB13B0"/>
    <w:rsid w:val="65C102ED"/>
    <w:rsid w:val="66BE1448"/>
    <w:rsid w:val="66CB3BA1"/>
    <w:rsid w:val="670F017A"/>
    <w:rsid w:val="679D2F48"/>
    <w:rsid w:val="68265F28"/>
    <w:rsid w:val="68737E38"/>
    <w:rsid w:val="688F60C4"/>
    <w:rsid w:val="68980491"/>
    <w:rsid w:val="69340AEA"/>
    <w:rsid w:val="6A0A6C34"/>
    <w:rsid w:val="6AD93FDA"/>
    <w:rsid w:val="6AFE42E4"/>
    <w:rsid w:val="6C2E32BF"/>
    <w:rsid w:val="6D4E3E81"/>
    <w:rsid w:val="6FBF70D0"/>
    <w:rsid w:val="71337735"/>
    <w:rsid w:val="72EE2745"/>
    <w:rsid w:val="731F751F"/>
    <w:rsid w:val="74466199"/>
    <w:rsid w:val="745A301F"/>
    <w:rsid w:val="74FF10A8"/>
    <w:rsid w:val="75285D41"/>
    <w:rsid w:val="75B83316"/>
    <w:rsid w:val="75F5393E"/>
    <w:rsid w:val="7783507E"/>
    <w:rsid w:val="77902E4F"/>
    <w:rsid w:val="77B61FAD"/>
    <w:rsid w:val="780A64E0"/>
    <w:rsid w:val="790E2B11"/>
    <w:rsid w:val="793D0782"/>
    <w:rsid w:val="799A7EAC"/>
    <w:rsid w:val="7A2C0ED5"/>
    <w:rsid w:val="7B244F16"/>
    <w:rsid w:val="7C1312E4"/>
    <w:rsid w:val="7C1905F4"/>
    <w:rsid w:val="7CCF1CC2"/>
    <w:rsid w:val="7CD81643"/>
    <w:rsid w:val="7DF26194"/>
    <w:rsid w:val="7F4253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2"/>
    <w:semiHidden/>
    <w:unhideWhenUsed/>
    <w:uiPriority w:val="0"/>
    <w:rPr>
      <w:rFonts w:ascii="宋体" w:eastAsia="宋体"/>
      <w:sz w:val="18"/>
      <w:szCs w:val="18"/>
    </w:r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2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itle"/>
    <w:basedOn w:val="1"/>
    <w:next w:val="1"/>
    <w:qFormat/>
    <w:uiPriority w:val="0"/>
    <w:pPr>
      <w:spacing w:before="240" w:after="60"/>
      <w:jc w:val="left"/>
      <w:outlineLvl w:val="0"/>
    </w:pPr>
    <w:rPr>
      <w:rFonts w:ascii="Calibri Light" w:hAnsi="Calibri Light" w:eastAsia="黑体" w:cs="Times New Roman"/>
      <w:b/>
      <w:bCs/>
      <w:sz w:val="32"/>
      <w:szCs w:val="32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unhideWhenUsed/>
    <w:qFormat/>
    <w:uiPriority w:val="99"/>
    <w:rPr>
      <w:color w:val="0563C1"/>
      <w:u w:val="single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19">
    <w:name w:val="批注框文本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眉 Char"/>
    <w:basedOn w:val="12"/>
    <w:link w:val="10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页脚 Char"/>
    <w:basedOn w:val="12"/>
    <w:link w:val="9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文档结构图 Char"/>
    <w:basedOn w:val="12"/>
    <w:link w:val="7"/>
    <w:semiHidden/>
    <w:uiPriority w:val="0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07160-EEDE-4E69-9763-C348A8CA07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241</Words>
  <Characters>1378</Characters>
  <Lines>11</Lines>
  <Paragraphs>3</Paragraphs>
  <TotalTime>96</TotalTime>
  <ScaleCrop>false</ScaleCrop>
  <LinksUpToDate>false</LinksUpToDate>
  <CharactersWithSpaces>1616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2018-11-15T07:14:00Z</dcterms:created>
  <dc:creator>错过再难相逢</dc:creator>
  <cp:lastModifiedBy>bw</cp:lastModifiedBy>
  <dcterms:modified xsi:type="dcterms:W3CDTF">2018-11-20T12:32:00Z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