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b/>
          <w:sz w:val="48"/>
          <w:szCs w:val="32"/>
        </w:rPr>
      </w:pPr>
      <w:r>
        <w:rPr>
          <w:rFonts w:hint="eastAsia" w:ascii="仿宋" w:hAnsi="仿宋" w:eastAsia="仿宋"/>
          <w:b/>
          <w:sz w:val="48"/>
          <w:szCs w:val="32"/>
        </w:rPr>
        <w:t>辽宁省电子税务局</w:t>
      </w:r>
      <w:r>
        <w:rPr>
          <w:rFonts w:hint="eastAsia" w:ascii="仿宋" w:hAnsi="仿宋" w:eastAsia="仿宋"/>
          <w:b/>
          <w:sz w:val="48"/>
          <w:szCs w:val="32"/>
          <w:lang w:val="en-US" w:eastAsia="zh-CN"/>
        </w:rPr>
        <w:t>2020</w:t>
      </w:r>
      <w:r>
        <w:rPr>
          <w:rFonts w:hint="eastAsia" w:ascii="仿宋" w:hAnsi="仿宋" w:eastAsia="仿宋"/>
          <w:b/>
          <w:sz w:val="48"/>
          <w:szCs w:val="32"/>
        </w:rPr>
        <w:t>年</w:t>
      </w:r>
      <w:r>
        <w:rPr>
          <w:rFonts w:hint="eastAsia" w:ascii="仿宋" w:hAnsi="仿宋" w:eastAsia="仿宋"/>
          <w:b/>
          <w:sz w:val="48"/>
          <w:szCs w:val="32"/>
          <w:lang w:val="en-US" w:eastAsia="zh-CN"/>
        </w:rPr>
        <w:t>4</w:t>
      </w:r>
      <w:r>
        <w:rPr>
          <w:rFonts w:hint="eastAsia" w:ascii="仿宋" w:hAnsi="仿宋" w:eastAsia="仿宋"/>
          <w:b/>
          <w:sz w:val="48"/>
          <w:szCs w:val="32"/>
        </w:rPr>
        <w:t>月</w:t>
      </w:r>
    </w:p>
    <w:p>
      <w:pPr>
        <w:spacing w:line="480" w:lineRule="auto"/>
        <w:jc w:val="center"/>
        <w:rPr>
          <w:rFonts w:hint="eastAsia" w:ascii="仿宋" w:hAnsi="仿宋" w:eastAsia="仿宋"/>
          <w:b/>
          <w:sz w:val="48"/>
          <w:szCs w:val="32"/>
          <w:lang w:eastAsia="zh-CN"/>
        </w:rPr>
      </w:pPr>
      <w:r>
        <w:rPr>
          <w:rFonts w:hint="eastAsia" w:ascii="仿宋" w:hAnsi="仿宋" w:eastAsia="仿宋"/>
          <w:b/>
          <w:sz w:val="48"/>
          <w:szCs w:val="32"/>
        </w:rPr>
        <w:t>功能优化内容</w:t>
      </w:r>
      <w:r>
        <w:rPr>
          <w:rFonts w:hint="eastAsia" w:ascii="仿宋" w:hAnsi="仿宋" w:eastAsia="仿宋"/>
          <w:b/>
          <w:sz w:val="48"/>
          <w:szCs w:val="32"/>
          <w:lang w:eastAsia="zh-CN"/>
        </w:rPr>
        <w:t>（</w:t>
      </w:r>
      <w:r>
        <w:rPr>
          <w:rFonts w:hint="eastAsia" w:ascii="仿宋" w:hAnsi="仿宋" w:eastAsia="仿宋"/>
          <w:b/>
          <w:sz w:val="48"/>
          <w:szCs w:val="32"/>
          <w:lang w:val="en-US" w:eastAsia="zh-CN"/>
        </w:rPr>
        <w:t>客户端</w:t>
      </w:r>
      <w:r>
        <w:rPr>
          <w:rFonts w:hint="eastAsia" w:ascii="仿宋" w:hAnsi="仿宋" w:eastAsia="仿宋"/>
          <w:b/>
          <w:sz w:val="48"/>
          <w:szCs w:val="32"/>
          <w:lang w:eastAsia="zh-CN"/>
        </w:rPr>
        <w:t>）</w:t>
      </w:r>
    </w:p>
    <w:p>
      <w:pPr>
        <w:pStyle w:val="3"/>
        <w:rPr>
          <w:rFonts w:hint="eastAsia" w:ascii="仿宋" w:hAnsi="仿宋" w:cs="微软雅黑"/>
          <w:kern w:val="0"/>
          <w:sz w:val="26"/>
          <w:szCs w:val="26"/>
        </w:rPr>
      </w:pPr>
    </w:p>
    <w:p>
      <w:pPr>
        <w:pStyle w:val="3"/>
        <w:rPr>
          <w:rFonts w:ascii="仿宋" w:hAnsi="仿宋"/>
          <w:sz w:val="26"/>
          <w:szCs w:val="26"/>
        </w:rPr>
      </w:pPr>
      <w:r>
        <w:rPr>
          <w:rFonts w:hint="eastAsia" w:ascii="仿宋" w:hAnsi="仿宋" w:cs="微软雅黑"/>
          <w:kern w:val="0"/>
          <w:sz w:val="26"/>
          <w:szCs w:val="26"/>
        </w:rPr>
        <w:t>（一）</w:t>
      </w:r>
      <w:r>
        <w:rPr>
          <w:rFonts w:hint="eastAsia" w:ascii="仿宋" w:hAnsi="仿宋"/>
          <w:sz w:val="26"/>
          <w:szCs w:val="26"/>
        </w:rPr>
        <w:t>税费申报及缴纳</w:t>
      </w:r>
      <w:r>
        <w:rPr>
          <w:rFonts w:ascii="仿宋" w:hAnsi="仿宋"/>
          <w:sz w:val="26"/>
          <w:szCs w:val="26"/>
        </w:rPr>
        <w:t>：</w:t>
      </w:r>
    </w:p>
    <w:p>
      <w:pPr>
        <w:spacing w:line="480" w:lineRule="auto"/>
        <w:rPr>
          <w:rFonts w:ascii="仿宋" w:hAnsi="仿宋" w:eastAsia="仿宋"/>
          <w:sz w:val="26"/>
          <w:szCs w:val="26"/>
        </w:rPr>
      </w:pPr>
      <w:r>
        <w:rPr>
          <w:rFonts w:hint="eastAsia" w:ascii="仿宋" w:hAnsi="仿宋" w:eastAsia="仿宋"/>
          <w:sz w:val="26"/>
          <w:szCs w:val="26"/>
        </w:rPr>
        <w:t>1. 居民企业（查账征收）企业所得税年度申报</w:t>
      </w:r>
      <w:r>
        <w:rPr>
          <w:rFonts w:hint="eastAsia" w:ascii="仿宋" w:hAnsi="仿宋" w:eastAsia="仿宋"/>
          <w:sz w:val="26"/>
          <w:szCs w:val="26"/>
          <w:lang w:eastAsia="zh-CN"/>
        </w:rPr>
        <w:t>，需求变更，优化“居民企业（查账征收）企业所得税年度申报”打印模板（详见6.1附件：《06_UC_B_SB_287_居民企业（查账征收）企业所得税年度申报_打印模板》）</w:t>
      </w:r>
      <w:r>
        <w:rPr>
          <w:rFonts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2.优化“城镇土地使用税房产税申报”，解决选择单个税源，土地等级、房产原值等信息带出不准确问题</w:t>
      </w:r>
      <w:r>
        <w:rPr>
          <w:rFonts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3</w:t>
      </w:r>
      <w:r>
        <w:rPr>
          <w:rFonts w:ascii="仿宋" w:hAnsi="仿宋" w:eastAsia="仿宋"/>
          <w:sz w:val="26"/>
          <w:szCs w:val="26"/>
        </w:rPr>
        <w:t>.</w:t>
      </w:r>
      <w:r>
        <w:rPr>
          <w:rFonts w:hint="eastAsia" w:ascii="仿宋" w:hAnsi="仿宋" w:eastAsia="仿宋"/>
          <w:sz w:val="26"/>
          <w:szCs w:val="26"/>
        </w:rPr>
        <w:t>优化“三方协议缴款（新）、银行端查询缴款（新）”，增加“分页显示”功能。</w:t>
      </w:r>
    </w:p>
    <w:p>
      <w:pPr>
        <w:spacing w:line="480" w:lineRule="auto"/>
        <w:rPr>
          <w:rFonts w:ascii="仿宋" w:hAnsi="仿宋" w:eastAsia="仿宋"/>
          <w:sz w:val="26"/>
          <w:szCs w:val="26"/>
        </w:rPr>
      </w:pPr>
      <w:r>
        <w:rPr>
          <w:rFonts w:hint="eastAsia" w:ascii="仿宋" w:hAnsi="仿宋" w:eastAsia="仿宋"/>
          <w:sz w:val="26"/>
          <w:szCs w:val="26"/>
        </w:rPr>
        <w:t>4.优化“增值税一般纳税人申报”功能。</w:t>
      </w:r>
    </w:p>
    <w:p>
      <w:pPr>
        <w:spacing w:line="480" w:lineRule="auto"/>
        <w:rPr>
          <w:rFonts w:ascii="仿宋" w:hAnsi="仿宋" w:eastAsia="仿宋"/>
          <w:sz w:val="26"/>
          <w:szCs w:val="26"/>
        </w:rPr>
      </w:pPr>
      <w:r>
        <w:rPr>
          <w:rFonts w:hint="eastAsia" w:ascii="仿宋" w:hAnsi="仿宋" w:eastAsia="仿宋"/>
          <w:sz w:val="26"/>
          <w:szCs w:val="26"/>
        </w:rPr>
        <w:t>5.优化“城镇土地使用税房产税税源信息采集”功能。</w:t>
      </w:r>
    </w:p>
    <w:p>
      <w:pPr>
        <w:spacing w:line="480" w:lineRule="auto"/>
        <w:rPr>
          <w:rFonts w:hint="eastAsia" w:ascii="仿宋" w:hAnsi="仿宋" w:eastAsia="仿宋"/>
          <w:sz w:val="26"/>
          <w:szCs w:val="26"/>
        </w:rPr>
      </w:pPr>
      <w:r>
        <w:rPr>
          <w:rFonts w:hint="eastAsia" w:ascii="仿宋" w:hAnsi="仿宋" w:eastAsia="仿宋"/>
          <w:sz w:val="26"/>
          <w:szCs w:val="26"/>
        </w:rPr>
        <w:t>6.优化“城镇土地使用税房产税申报”：</w:t>
      </w:r>
    </w:p>
    <w:p>
      <w:pPr>
        <w:spacing w:line="480" w:lineRule="auto"/>
        <w:rPr>
          <w:rFonts w:hint="eastAsia" w:ascii="仿宋" w:hAnsi="仿宋" w:eastAsia="仿宋"/>
          <w:sz w:val="26"/>
          <w:szCs w:val="26"/>
        </w:rPr>
      </w:pPr>
      <w:r>
        <w:rPr>
          <w:rFonts w:hint="eastAsia" w:ascii="仿宋" w:hAnsi="仿宋" w:eastAsia="仿宋"/>
          <w:sz w:val="26"/>
          <w:szCs w:val="26"/>
        </w:rPr>
        <w:t>1)是否适用小规模政策自动带出，增加必录校验；</w:t>
      </w:r>
    </w:p>
    <w:p>
      <w:pPr>
        <w:spacing w:line="480" w:lineRule="auto"/>
        <w:rPr>
          <w:rFonts w:ascii="仿宋" w:hAnsi="仿宋" w:eastAsia="仿宋"/>
          <w:sz w:val="26"/>
          <w:szCs w:val="26"/>
        </w:rPr>
      </w:pPr>
      <w:r>
        <w:rPr>
          <w:rFonts w:hint="eastAsia" w:ascii="仿宋" w:hAnsi="仿宋" w:eastAsia="仿宋"/>
          <w:sz w:val="26"/>
          <w:szCs w:val="26"/>
        </w:rPr>
        <w:t>2)小规模政策终止时间锁定、不可修改。</w:t>
      </w:r>
    </w:p>
    <w:p>
      <w:pPr>
        <w:spacing w:line="480" w:lineRule="auto"/>
        <w:rPr>
          <w:rFonts w:ascii="仿宋" w:hAnsi="仿宋" w:eastAsia="仿宋"/>
          <w:sz w:val="26"/>
          <w:szCs w:val="26"/>
        </w:rPr>
      </w:pPr>
      <w:r>
        <w:rPr>
          <w:rFonts w:hint="eastAsia" w:ascii="仿宋" w:hAnsi="仿宋" w:eastAsia="仿宋"/>
          <w:sz w:val="26"/>
          <w:szCs w:val="26"/>
        </w:rPr>
        <w:t>7.优化“车船税申报”，车辆号码为空时不校验。</w:t>
      </w:r>
    </w:p>
    <w:p>
      <w:pPr>
        <w:spacing w:line="480" w:lineRule="auto"/>
        <w:rPr>
          <w:rFonts w:ascii="仿宋" w:hAnsi="仿宋" w:eastAsia="仿宋"/>
          <w:sz w:val="26"/>
          <w:szCs w:val="26"/>
        </w:rPr>
      </w:pPr>
      <w:r>
        <w:rPr>
          <w:rFonts w:hint="eastAsia" w:ascii="仿宋" w:hAnsi="仿宋" w:eastAsia="仿宋"/>
          <w:sz w:val="26"/>
          <w:szCs w:val="26"/>
        </w:rPr>
        <w:t>8.</w:t>
      </w:r>
      <w:r>
        <w:rPr>
          <w:rFonts w:hint="eastAsia" w:ascii="仿宋" w:hAnsi="仿宋" w:eastAsia="仿宋"/>
          <w:sz w:val="26"/>
          <w:szCs w:val="26"/>
          <w:lang w:val="en-US" w:eastAsia="zh-CN"/>
        </w:rPr>
        <w:t>优化</w:t>
      </w:r>
      <w:r>
        <w:rPr>
          <w:rFonts w:hint="eastAsia" w:ascii="仿宋" w:hAnsi="仿宋" w:eastAsia="仿宋"/>
          <w:sz w:val="26"/>
          <w:szCs w:val="26"/>
        </w:rPr>
        <w:t>增值税小规模纳税人申报</w:t>
      </w:r>
      <w:r>
        <w:rPr>
          <w:rFonts w:hint="eastAsia" w:ascii="仿宋" w:hAnsi="仿宋" w:eastAsia="仿宋"/>
          <w:sz w:val="26"/>
          <w:szCs w:val="26"/>
          <w:lang w:eastAsia="zh-CN"/>
        </w:rPr>
        <w:t>，1%税率与3%税率的合计提取至申报表单</w:t>
      </w:r>
      <w:r>
        <w:rPr>
          <w:rFonts w:hint="eastAsia"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9.需求新增，增加“中小企业因疫情影响减征房产税和城镇土地使用税核准信息维护”功能。</w:t>
      </w:r>
    </w:p>
    <w:p>
      <w:pPr>
        <w:spacing w:line="480" w:lineRule="auto"/>
        <w:rPr>
          <w:rFonts w:ascii="仿宋" w:hAnsi="仿宋" w:eastAsia="仿宋"/>
          <w:sz w:val="26"/>
          <w:szCs w:val="26"/>
        </w:rPr>
      </w:pPr>
      <w:r>
        <w:rPr>
          <w:rFonts w:hint="eastAsia" w:ascii="仿宋" w:hAnsi="仿宋" w:eastAsia="仿宋"/>
          <w:sz w:val="26"/>
          <w:szCs w:val="26"/>
        </w:rPr>
        <w:t>10.增值税预缴申报</w:t>
      </w:r>
      <w:r>
        <w:rPr>
          <w:rFonts w:hint="eastAsia" w:ascii="仿宋" w:hAnsi="仿宋" w:eastAsia="仿宋"/>
          <w:sz w:val="26"/>
          <w:szCs w:val="26"/>
          <w:lang w:eastAsia="zh-CN"/>
        </w:rPr>
        <w:t>，</w:t>
      </w:r>
      <w:r>
        <w:rPr>
          <w:rFonts w:hint="eastAsia" w:ascii="仿宋" w:hAnsi="仿宋" w:eastAsia="仿宋"/>
          <w:sz w:val="26"/>
          <w:szCs w:val="26"/>
        </w:rPr>
        <w:t>需求变更，增加红字提醒：如您需要进行项目部预缴，请先完成增值税预缴申报后，通过功能菜单“项目部税费预缴”进行操作。</w:t>
      </w:r>
    </w:p>
    <w:p>
      <w:pPr>
        <w:spacing w:line="480" w:lineRule="auto"/>
        <w:rPr>
          <w:rFonts w:ascii="仿宋" w:hAnsi="仿宋" w:eastAsia="仿宋"/>
          <w:sz w:val="26"/>
          <w:szCs w:val="26"/>
        </w:rPr>
      </w:pPr>
      <w:r>
        <w:rPr>
          <w:rFonts w:hint="eastAsia" w:ascii="仿宋" w:hAnsi="仿宋" w:eastAsia="仿宋"/>
          <w:sz w:val="26"/>
          <w:szCs w:val="26"/>
        </w:rPr>
        <w:t>11.</w:t>
      </w:r>
      <w:r>
        <w:rPr>
          <w:rFonts w:hint="eastAsia" w:ascii="仿宋" w:hAnsi="仿宋" w:eastAsia="仿宋"/>
          <w:sz w:val="26"/>
          <w:szCs w:val="26"/>
          <w:lang w:val="en-US" w:eastAsia="zh-CN"/>
        </w:rPr>
        <w:t>需求变更，“财务报告报送与信息采集”功能优化</w:t>
      </w:r>
      <w:r>
        <w:rPr>
          <w:rFonts w:hint="eastAsia" w:ascii="仿宋" w:hAnsi="仿宋" w:eastAsia="仿宋"/>
          <w:sz w:val="26"/>
          <w:szCs w:val="26"/>
        </w:rPr>
        <w:t>。</w:t>
      </w:r>
    </w:p>
    <w:p>
      <w:pPr>
        <w:spacing w:line="480" w:lineRule="auto"/>
        <w:rPr>
          <w:rFonts w:hint="eastAsia" w:ascii="仿宋" w:hAnsi="仿宋" w:eastAsia="仿宋"/>
          <w:sz w:val="26"/>
          <w:szCs w:val="26"/>
          <w:lang w:eastAsia="zh-CN"/>
        </w:rPr>
      </w:pPr>
      <w:r>
        <w:rPr>
          <w:rFonts w:hint="eastAsia" w:ascii="仿宋" w:hAnsi="仿宋" w:eastAsia="仿宋"/>
          <w:sz w:val="26"/>
          <w:szCs w:val="26"/>
        </w:rPr>
        <w:t>12.跨省汇总纳税分支机构申报时，考虑到可能存在选错跨省总机构行政区划的情况，</w:t>
      </w:r>
      <w:r>
        <w:rPr>
          <w:rFonts w:hint="eastAsia" w:ascii="仿宋" w:hAnsi="仿宋" w:eastAsia="仿宋"/>
          <w:sz w:val="26"/>
          <w:szCs w:val="26"/>
          <w:lang w:val="en-US" w:eastAsia="zh-CN"/>
        </w:rPr>
        <w:t>优化为</w:t>
      </w:r>
      <w:r>
        <w:rPr>
          <w:rFonts w:hint="eastAsia" w:ascii="仿宋" w:hAnsi="仿宋" w:eastAsia="仿宋"/>
          <w:sz w:val="26"/>
          <w:szCs w:val="26"/>
        </w:rPr>
        <w:t>当在外省查询不到总机构信息时，强制提示：根据您选择的“跨省总机构行政区划”，系统跨省总机构行政区划XXXX,未在该地区查询到总机构XXXX的信息，请核实</w:t>
      </w:r>
      <w:r>
        <w:rPr>
          <w:rFonts w:hint="eastAsia" w:ascii="仿宋" w:hAnsi="仿宋" w:eastAsia="仿宋"/>
          <w:sz w:val="26"/>
          <w:szCs w:val="26"/>
          <w:lang w:eastAsia="zh-CN"/>
        </w:rPr>
        <w:t>。</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13.增值税小规模纳税人申报增加监控，存在自开或代开发票时，增加提示信息（不允许一键零申报）。</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14.需求新增，增加“个体双定户申报套餐”功能。</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15.重点税源补充信息采集表需求变更。</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16.优化“增值税一般纳税人申报”功能：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1)业务监控规则：一般纳税人，当增值税申报表（适用于一般纳税人），第1栏（按适用税率计税销售额）+第5栏（按简易征收办法计税销售额）+第7栏（免、抵、退办法出口销售额）+第8栏（免税销售额）的合计数，按月申报的不超过10万元（按季申报的不超过30万元），且第14栏（进项税额转出）为0和第31栏（本期缴纳欠缴税额）均为0时，跳转到（纳税人自行选择）附加税（费）申报表后，附加税（费）申报表教育费附加、地方教育附加“本期减免税（费）额”的“减免性质代码”栏均自动带出“0061042802”，实现教育费附加和地方教育附加的自动全免；</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2)主附税申报顺序监控：纳税人必须先填报增值税申报表，才允许填报附加税（费）申报表。</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17. 优化“增值税期末留抵税额退税”，选择“疫情防控重点物资生产企业”，“增量留抵税额”未带出，填写“申请退税额”保存后才能带出，应该选择“疫情防控重点物资生产企业”后自动带出“增量留抵税额”，供纳税人填写“申请退税额”时参考。</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18.附加税（费）申报：</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default" w:ascii="仿宋" w:hAnsi="仿宋" w:eastAsia="仿宋"/>
          <w:sz w:val="26"/>
          <w:szCs w:val="26"/>
          <w:lang w:val="en-US" w:eastAsia="zh-CN"/>
        </w:rPr>
        <w:t>1)</w:t>
      </w:r>
      <w:r>
        <w:rPr>
          <w:rFonts w:hint="eastAsia" w:ascii="仿宋" w:hAnsi="仿宋" w:eastAsia="仿宋"/>
          <w:sz w:val="26"/>
          <w:szCs w:val="26"/>
          <w:lang w:val="en-US" w:eastAsia="zh-CN"/>
        </w:rPr>
        <w:t>一般纳税人：申报表第1栏+第5栏+第7栏+第8栏的合计数，按月申报的不超过10万元（按季申报的不超过30万元），且第14栏为0和第31栏均为0时，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2</w:t>
      </w:r>
      <w:r>
        <w:rPr>
          <w:rFonts w:hint="default" w:ascii="仿宋" w:hAnsi="仿宋" w:eastAsia="仿宋"/>
          <w:sz w:val="26"/>
          <w:szCs w:val="26"/>
          <w:lang w:val="en-US" w:eastAsia="zh-CN"/>
        </w:rPr>
        <w:t>)</w:t>
      </w:r>
      <w:r>
        <w:rPr>
          <w:rFonts w:hint="eastAsia" w:ascii="仿宋" w:hAnsi="仿宋" w:eastAsia="仿宋"/>
          <w:sz w:val="26"/>
          <w:szCs w:val="26"/>
          <w:lang w:val="en-US" w:eastAsia="zh-CN"/>
        </w:rPr>
        <w:t>小规模纳税人：申报表，第1栏+第4栏+第7栏+第9栏+第13栏合计数或者第15栏（核定销售额，相互比较取最大数），按月申报的不超过10万元（按季申报的不超过30万元），即使第24栏大于0，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3</w:t>
      </w:r>
      <w:r>
        <w:rPr>
          <w:rFonts w:hint="default" w:ascii="仿宋" w:hAnsi="仿宋" w:eastAsia="仿宋"/>
          <w:sz w:val="26"/>
          <w:szCs w:val="26"/>
          <w:lang w:val="en-US" w:eastAsia="zh-CN"/>
        </w:rPr>
        <w:t>)</w:t>
      </w:r>
      <w:r>
        <w:rPr>
          <w:rFonts w:hint="eastAsia" w:ascii="仿宋" w:hAnsi="仿宋" w:eastAsia="仿宋"/>
          <w:sz w:val="26"/>
          <w:szCs w:val="26"/>
          <w:lang w:val="en-US" w:eastAsia="zh-CN"/>
        </w:rPr>
        <w:t>增值税预缴申报：当纳税人每次填报增值税预缴申报表第1栏（销售额）-第2栏（扣除金额）不超过10万元，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特别注意：以上规则，即使纳税人手动修改了附加税（费）计税依据，只要纳税人增值税申报表申报的数据符合上述规则，则自动带出的减免税代码仍然有效。</w:t>
      </w:r>
    </w:p>
    <w:p>
      <w:pPr>
        <w:spacing w:line="480" w:lineRule="auto"/>
        <w:rPr>
          <w:rFonts w:hint="default"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4</w:t>
      </w:r>
      <w:r>
        <w:rPr>
          <w:rFonts w:hint="default" w:ascii="仿宋" w:hAnsi="仿宋" w:eastAsia="仿宋"/>
          <w:sz w:val="26"/>
          <w:szCs w:val="26"/>
          <w:lang w:val="en-US" w:eastAsia="zh-CN"/>
        </w:rPr>
        <w:t>)</w:t>
      </w:r>
      <w:r>
        <w:rPr>
          <w:rFonts w:hint="eastAsia" w:ascii="仿宋" w:hAnsi="仿宋" w:eastAsia="仿宋"/>
          <w:sz w:val="26"/>
          <w:szCs w:val="26"/>
          <w:lang w:val="en-US" w:eastAsia="zh-CN"/>
        </w:rPr>
        <w:t>主附税申报先后顺序监控：纳税人必须先填报增值税申报表，才允许填报附加税（费）申报表。</w:t>
      </w:r>
      <w:bookmarkStart w:id="0" w:name="_GoBack"/>
      <w:bookmarkEnd w:id="0"/>
    </w:p>
    <w:p>
      <w:pPr>
        <w:spacing w:line="480" w:lineRule="auto"/>
        <w:rPr>
          <w:rFonts w:hint="eastAsia" w:ascii="仿宋" w:hAnsi="仿宋" w:eastAsia="仿宋" w:cs="仿宋"/>
          <w:b/>
          <w:bCs/>
          <w:sz w:val="26"/>
          <w:szCs w:val="26"/>
          <w:lang w:eastAsia="zh-CN"/>
        </w:rPr>
      </w:pPr>
      <w:r>
        <w:rPr>
          <w:rFonts w:hint="eastAsia" w:ascii="仿宋" w:hAnsi="仿宋" w:eastAsia="仿宋"/>
          <w:b/>
          <w:bCs/>
          <w:sz w:val="26"/>
          <w:szCs w:val="26"/>
          <w:lang w:eastAsia="zh-CN"/>
        </w:rPr>
        <w:t>（</w:t>
      </w:r>
      <w:r>
        <w:rPr>
          <w:rFonts w:hint="eastAsia" w:ascii="仿宋" w:hAnsi="仿宋" w:eastAsia="仿宋"/>
          <w:b/>
          <w:bCs/>
          <w:sz w:val="26"/>
          <w:szCs w:val="26"/>
          <w:lang w:val="en-US" w:eastAsia="zh-CN"/>
        </w:rPr>
        <w:t>二</w:t>
      </w:r>
      <w:r>
        <w:rPr>
          <w:rFonts w:hint="eastAsia" w:ascii="仿宋" w:hAnsi="仿宋" w:eastAsia="仿宋"/>
          <w:b/>
          <w:bCs/>
          <w:sz w:val="26"/>
          <w:szCs w:val="26"/>
          <w:lang w:eastAsia="zh-CN"/>
        </w:rPr>
        <w:t>）</w:t>
      </w:r>
      <w:r>
        <w:rPr>
          <w:rFonts w:hint="eastAsia" w:ascii="仿宋" w:hAnsi="仿宋" w:eastAsia="仿宋" w:cs="仿宋"/>
          <w:b/>
          <w:bCs/>
          <w:sz w:val="26"/>
          <w:szCs w:val="26"/>
          <w:lang w:eastAsia="zh-CN"/>
        </w:rPr>
        <w:t>税务文书电子送达：</w:t>
      </w:r>
    </w:p>
    <w:p>
      <w:pPr>
        <w:spacing w:line="480" w:lineRule="auto"/>
        <w:rPr>
          <w:rFonts w:hint="default" w:ascii="仿宋" w:hAnsi="仿宋" w:eastAsia="仿宋"/>
          <w:sz w:val="26"/>
          <w:szCs w:val="26"/>
          <w:lang w:val="en-US" w:eastAsia="zh-CN"/>
        </w:rPr>
      </w:pPr>
      <w:r>
        <w:rPr>
          <w:rFonts w:hint="default" w:ascii="仿宋" w:hAnsi="仿宋" w:eastAsia="仿宋" w:cs="仿宋"/>
          <w:sz w:val="28"/>
          <w:szCs w:val="28"/>
          <w:lang w:val="en-US" w:eastAsia="zh-CN"/>
        </w:rPr>
        <w:t>(</w:t>
      </w:r>
      <w:r>
        <w:rPr>
          <w:rFonts w:hint="default" w:ascii="仿宋" w:hAnsi="仿宋" w:eastAsia="仿宋"/>
          <w:sz w:val="26"/>
          <w:szCs w:val="26"/>
          <w:lang w:val="en-US" w:eastAsia="zh-CN"/>
        </w:rPr>
        <w:t>1)</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实现《税务文书电子送达书确认书》的签订功能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(2)</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通过定时任务实现税务文书电子送达的自动制作送达回证及文书销号功能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(3)</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实现电子税务文书的消息提醒功能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(4)</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实现电子文书的查询功能</w:t>
      </w:r>
      <w:r>
        <w:rPr>
          <w:rFonts w:hint="eastAsia" w:ascii="仿宋" w:hAnsi="仿宋" w:eastAsia="仿宋"/>
          <w:sz w:val="26"/>
          <w:szCs w:val="26"/>
          <w:lang w:val="en-US" w:eastAsia="zh-CN"/>
        </w:rPr>
        <w:t>。</w:t>
      </w:r>
    </w:p>
    <w:p>
      <w:pPr>
        <w:pStyle w:val="3"/>
        <w:rPr>
          <w:rFonts w:ascii="仿宋" w:hAnsi="仿宋"/>
          <w:sz w:val="26"/>
          <w:szCs w:val="26"/>
        </w:rPr>
      </w:pPr>
      <w:r>
        <w:rPr>
          <w:rFonts w:hint="eastAsia" w:ascii="仿宋" w:hAnsi="仿宋" w:cs="微软雅黑"/>
          <w:kern w:val="0"/>
          <w:sz w:val="26"/>
          <w:szCs w:val="26"/>
        </w:rPr>
        <w:t>（三）</w:t>
      </w:r>
      <w:r>
        <w:rPr>
          <w:rFonts w:hint="eastAsia" w:ascii="仿宋" w:hAnsi="仿宋"/>
          <w:sz w:val="26"/>
          <w:szCs w:val="26"/>
        </w:rPr>
        <w:t>综合信息报告：</w:t>
      </w:r>
    </w:p>
    <w:p>
      <w:pPr>
        <w:spacing w:line="480" w:lineRule="auto"/>
        <w:rPr>
          <w:rFonts w:hint="eastAsia" w:ascii="仿宋" w:hAnsi="仿宋" w:eastAsia="仿宋"/>
          <w:sz w:val="26"/>
          <w:szCs w:val="26"/>
        </w:rPr>
      </w:pPr>
      <w:r>
        <w:rPr>
          <w:rFonts w:hint="eastAsia" w:ascii="仿宋" w:hAnsi="仿宋" w:eastAsia="仿宋"/>
          <w:sz w:val="26"/>
          <w:szCs w:val="26"/>
        </w:rPr>
        <w:t>1.优化“文化事业建设费缴费信息报告”：</w:t>
      </w:r>
    </w:p>
    <w:p>
      <w:pPr>
        <w:spacing w:line="480" w:lineRule="auto"/>
        <w:rPr>
          <w:rFonts w:hint="eastAsia" w:ascii="仿宋" w:hAnsi="仿宋" w:eastAsia="仿宋"/>
          <w:sz w:val="26"/>
          <w:szCs w:val="26"/>
        </w:rPr>
      </w:pPr>
      <w:r>
        <w:rPr>
          <w:rFonts w:hint="eastAsia" w:ascii="仿宋" w:hAnsi="仿宋" w:eastAsia="仿宋"/>
          <w:sz w:val="26"/>
          <w:szCs w:val="26"/>
        </w:rPr>
        <w:t>1)增加提示“纳税人行业中不包含广告业和娱乐业，不满足办理条件，请确认！”；</w:t>
      </w:r>
    </w:p>
    <w:p>
      <w:pPr>
        <w:spacing w:line="480" w:lineRule="auto"/>
        <w:rPr>
          <w:rFonts w:hint="eastAsia" w:ascii="仿宋" w:hAnsi="仿宋" w:eastAsia="仿宋"/>
          <w:sz w:val="26"/>
          <w:szCs w:val="26"/>
        </w:rPr>
      </w:pPr>
      <w:r>
        <w:rPr>
          <w:rFonts w:hint="eastAsia" w:ascii="仿宋" w:hAnsi="仿宋" w:eastAsia="仿宋"/>
          <w:sz w:val="26"/>
          <w:szCs w:val="26"/>
        </w:rPr>
        <w:t>2)菜单显示增加过滤条件（娱乐业：行业代码90应该可见）；</w:t>
      </w:r>
    </w:p>
    <w:p>
      <w:pPr>
        <w:spacing w:line="480" w:lineRule="auto"/>
        <w:rPr>
          <w:rFonts w:hint="eastAsia" w:ascii="仿宋" w:hAnsi="仿宋" w:eastAsia="仿宋"/>
          <w:sz w:val="26"/>
          <w:szCs w:val="26"/>
        </w:rPr>
      </w:pPr>
      <w:r>
        <w:rPr>
          <w:rFonts w:hint="eastAsia" w:ascii="仿宋" w:hAnsi="仿宋" w:eastAsia="仿宋"/>
          <w:sz w:val="26"/>
          <w:szCs w:val="26"/>
        </w:rPr>
        <w:t>3)对应税目根据行业进行判断；</w:t>
      </w:r>
    </w:p>
    <w:p>
      <w:pPr>
        <w:spacing w:line="480" w:lineRule="auto"/>
        <w:rPr>
          <w:rFonts w:ascii="仿宋" w:hAnsi="仿宋" w:eastAsia="仿宋"/>
          <w:sz w:val="26"/>
          <w:szCs w:val="26"/>
        </w:rPr>
      </w:pPr>
      <w:r>
        <w:rPr>
          <w:rFonts w:hint="eastAsia" w:ascii="仿宋" w:hAnsi="仿宋" w:eastAsia="仿宋"/>
          <w:sz w:val="26"/>
          <w:szCs w:val="26"/>
        </w:rPr>
        <w:t>4)征收率自动带出并置灰</w:t>
      </w:r>
      <w:r>
        <w:rPr>
          <w:rFonts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2</w:t>
      </w:r>
      <w:r>
        <w:rPr>
          <w:rFonts w:ascii="仿宋" w:hAnsi="仿宋" w:eastAsia="仿宋"/>
          <w:sz w:val="26"/>
          <w:szCs w:val="26"/>
        </w:rPr>
        <w:t>.</w:t>
      </w:r>
      <w:r>
        <w:rPr>
          <w:rFonts w:hint="eastAsia" w:ascii="仿宋" w:hAnsi="仿宋" w:eastAsia="仿宋"/>
          <w:sz w:val="26"/>
          <w:szCs w:val="26"/>
        </w:rPr>
        <w:t>优化“延期缴纳税款申请”，当期货币资金余额、当期应付职工工资支出预算、当期社会保险费支出预算、人员工资支出情况、社会保险费支出情况均允许填零</w:t>
      </w:r>
      <w:r>
        <w:rPr>
          <w:rFonts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3.优化</w:t>
      </w:r>
      <w:r>
        <w:rPr>
          <w:rFonts w:hint="eastAsia" w:ascii="仿宋" w:hAnsi="仿宋" w:eastAsia="仿宋"/>
          <w:sz w:val="26"/>
          <w:szCs w:val="26"/>
          <w:lang w:val="en-US" w:eastAsia="zh-CN"/>
        </w:rPr>
        <w:t>发票缴销缴销原因通过“下拉框”方式进行选择</w:t>
      </w:r>
      <w:r>
        <w:rPr>
          <w:rFonts w:hint="eastAsia" w:ascii="仿宋" w:hAnsi="仿宋" w:eastAsia="仿宋"/>
          <w:sz w:val="26"/>
          <w:szCs w:val="26"/>
        </w:rPr>
        <w:t>。</w:t>
      </w:r>
    </w:p>
    <w:p>
      <w:pPr>
        <w:spacing w:line="480" w:lineRule="auto"/>
        <w:rPr>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1020"/>
    <w:rsid w:val="061A1020"/>
    <w:rsid w:val="06C336DC"/>
    <w:rsid w:val="0949091C"/>
    <w:rsid w:val="1BCD3C5F"/>
    <w:rsid w:val="1C4E1F41"/>
    <w:rsid w:val="1D99037D"/>
    <w:rsid w:val="21E76FA8"/>
    <w:rsid w:val="27A4731F"/>
    <w:rsid w:val="2B9E1DD1"/>
    <w:rsid w:val="2EEF5BAA"/>
    <w:rsid w:val="36B82B0A"/>
    <w:rsid w:val="3AF34AF2"/>
    <w:rsid w:val="3B89686C"/>
    <w:rsid w:val="4B32606E"/>
    <w:rsid w:val="53BB2671"/>
    <w:rsid w:val="56963B8A"/>
    <w:rsid w:val="57554984"/>
    <w:rsid w:val="651303E8"/>
    <w:rsid w:val="6C9C460A"/>
    <w:rsid w:val="6E0C4CDC"/>
    <w:rsid w:val="6FB2613E"/>
    <w:rsid w:val="73C0723C"/>
    <w:rsid w:val="7A335CED"/>
    <w:rsid w:val="7EB2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480" w:lineRule="auto"/>
      <w:jc w:val="left"/>
      <w:outlineLvl w:val="0"/>
    </w:pPr>
    <w:rPr>
      <w:rFonts w:eastAsia="仿宋"/>
      <w:b/>
      <w:bCs/>
      <w:kern w:val="44"/>
      <w:sz w:val="28"/>
      <w:szCs w:val="44"/>
    </w:rPr>
  </w:style>
  <w:style w:type="paragraph" w:styleId="3">
    <w:name w:val="heading 2"/>
    <w:basedOn w:val="1"/>
    <w:next w:val="1"/>
    <w:unhideWhenUsed/>
    <w:qFormat/>
    <w:uiPriority w:val="9"/>
    <w:pPr>
      <w:keepNext/>
      <w:keepLines/>
      <w:spacing w:line="480" w:lineRule="auto"/>
      <w:outlineLvl w:val="1"/>
    </w:pPr>
    <w:rPr>
      <w:rFonts w:eastAsia="仿宋" w:asciiTheme="majorHAnsi" w:hAnsiTheme="majorHAnsi" w:cstheme="majorBidi"/>
      <w:b/>
      <w:bCs/>
      <w:sz w:val="24"/>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2020-03-31T09:39:00Z</dcterms:created>
  <dc:creator>Administrator</dc:creator>
  <cp:lastModifiedBy>Administrator</cp:lastModifiedBy>
  <dcterms:modified xsi:type="dcterms:W3CDTF">2020-03-31T10:42:54Z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