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t>北京市新增产业的禁止和限制目录(</w:t>
      </w:r>
      <w:proofErr w:type="gramStart"/>
      <w:r w:rsidRPr="00DD051C">
        <w:rPr>
          <w:rFonts w:ascii="宋体" w:eastAsia="宋体" w:hAnsi="宋体" w:hint="eastAsia"/>
          <w:b/>
          <w:bCs/>
          <w:sz w:val="21"/>
          <w:szCs w:val="21"/>
        </w:rPr>
        <w:t>一</w:t>
      </w:r>
      <w:proofErr w:type="gramEnd"/>
      <w:r w:rsidRPr="00DD051C">
        <w:rPr>
          <w:rFonts w:ascii="宋体" w:eastAsia="宋体" w:hAnsi="宋体" w:hint="eastAsia"/>
          <w:b/>
          <w:bCs/>
          <w:sz w:val="21"/>
          <w:szCs w:val="21"/>
        </w:rPr>
        <w:t>)</w:t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>(适用于全市范围)</w:t>
      </w:r>
      <w:r w:rsidR="006F0BAC"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476875" cy="6286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F0BAC"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7324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F0BAC"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7267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BAC"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71342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BAC"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7296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720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64293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8077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2724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</w:p>
    <w:p w:rsidR="006F0BAC" w:rsidRDefault="006F0BAC">
      <w:pPr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br w:type="page"/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lastRenderedPageBreak/>
        <w:t>北京市新增产业的禁止和限制目录(二)</w:t>
      </w:r>
    </w:p>
    <w:p w:rsid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>(1.在执行全市层面管理措施的基础上，适用于中心城区)</w:t>
      </w:r>
    </w:p>
    <w:p w:rsidR="006F0BA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486400" cy="8410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76875" cy="7115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7496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49911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AC" w:rsidRDefault="006F0BAC">
      <w:pPr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br w:type="page"/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lastRenderedPageBreak/>
        <w:t>北京市新增产业的禁止和限制目录(二)</w:t>
      </w:r>
    </w:p>
    <w:p w:rsid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>(2.在执行全市层面管理措施的基础上，适用于北京城市副中心)</w:t>
      </w:r>
    </w:p>
    <w:p w:rsidR="006F0BA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476875" cy="63912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lastRenderedPageBreak/>
        <w:drawing>
          <wp:inline distT="0" distB="0" distL="0" distR="0">
            <wp:extent cx="5486400" cy="7429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AC" w:rsidRDefault="006F0BAC">
      <w:pPr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br w:type="page"/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lastRenderedPageBreak/>
        <w:t>北京市新增产业的禁止和限制目录(二)</w:t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>(3.在执行全市层面管理措施的基础上，适用于中心城区、北京城市副中心以外的平原地区)</w:t>
      </w:r>
    </w:p>
    <w:p w:rsidR="00DD051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>
            <wp:extent cx="5486400" cy="3142550"/>
            <wp:effectExtent l="0" t="0" r="0" b="0"/>
            <wp:docPr id="25" name="Picture 25" descr="http://zhengce.beijing.gov.cn/zfwj/5111/5141/1344481/1566810/24996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zhengce.beijing.gov.cn/zfwj/5111/5141/1344481/1566810/249960_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BAC" w:rsidRDefault="006F0BAC">
      <w:pPr>
        <w:rPr>
          <w:rFonts w:ascii="宋体" w:eastAsia="宋体" w:hAnsi="宋体"/>
          <w:b/>
          <w:bCs/>
          <w:sz w:val="21"/>
          <w:szCs w:val="21"/>
        </w:rPr>
      </w:pPr>
      <w:r>
        <w:rPr>
          <w:rFonts w:ascii="宋体" w:eastAsia="宋体" w:hAnsi="宋体"/>
          <w:b/>
          <w:bCs/>
          <w:sz w:val="21"/>
          <w:szCs w:val="21"/>
        </w:rPr>
        <w:br w:type="page"/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lastRenderedPageBreak/>
        <w:t>北京市新增产业的禁止和限制目录(二)</w:t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>(4.在执行全市层面管理措施的基础上，适用于生态涵养区)</w:t>
      </w:r>
    </w:p>
    <w:p w:rsidR="00DD051C" w:rsidRPr="00DD051C" w:rsidRDefault="006F0BA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/>
          <w:noProof/>
          <w:sz w:val="21"/>
          <w:szCs w:val="21"/>
        </w:rPr>
        <w:drawing>
          <wp:inline distT="0" distB="0" distL="0" distR="0">
            <wp:extent cx="5486400" cy="4532243"/>
            <wp:effectExtent l="0" t="0" r="0" b="0"/>
            <wp:docPr id="27" name="Picture 27" descr="http://zhengce.beijing.gov.cn/zfwj/5111/5141/1344481/1566810/24998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hengce.beijing.gov.cn/zfwj/5111/5141/1344481/1566810/249980_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3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51C" w:rsidRPr="00DD051C" w:rsidRDefault="00DD051C" w:rsidP="00DD051C">
      <w:pPr>
        <w:spacing w:before="100" w:beforeAutospacing="1" w:after="150" w:line="360" w:lineRule="atLeast"/>
        <w:jc w:val="center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b/>
          <w:bCs/>
          <w:sz w:val="21"/>
          <w:szCs w:val="21"/>
        </w:rPr>
        <w:t>注　释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一、中心城区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中心城区包括东城区、西城区、朝阳区、海淀区、丰台区、石景山区，土地面积1378平方公里。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二、北京城市副中心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北京城市副中心规划范围为原通州新城规划建设区，总面积约155平方公里。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三、中心城区、北京城市副中心以外的平原地区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中心城区、北京城市副中心以外的平原地区包括通州区(北京城市副中心除外)、顺义区、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大兴区以及昌平区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和房山区的平原地区。其中：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昌平区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的平原地区包括城北街道、城南街道、沙河镇、百善镇、南邵镇、东小口镇、回龙观镇、北七家镇、小汤山镇、马池口镇、天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通苑北街道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天通苑南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街道和霍营街道；房山区的平原地区包括城关街道、良乡镇、拱辰街道、西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潞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lastRenderedPageBreak/>
        <w:t>街道、琉璃河镇、窦店镇、石楼镇、长沟镇、阎村镇、长阳镇、新镇街道、迎风街道、东风街道、向阳街道和星城街道。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四、生态涵养区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生态涵养区包括门头沟区、平谷区、怀柔区、密云区、延庆区以及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昌平区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和房山区的山区部分。其中：昌平区划入生态涵养区的部分包括南口镇、兴寿镇、流村镇、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崔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村镇、阳坊镇、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延寿镇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和十三陵镇；房山区划入生态涵养区的部分包括周口店镇、大石窝镇、张坊镇、十渡镇、河北镇、韩村河镇、青龙湖镇、佛子庄乡、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南窖乡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、大安山乡、史家营乡、霞云岭乡和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蒲洼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乡。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五、在途项目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指在《目录》发布前，有关审批部门已受理审批或办理完成审批的属于《目录》禁止和限制范围内的项目。在途项目不适用《目录》，但要结合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疏解非首都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功能的要求，根据项目进度，尽可能调整项目功能，优化建设方案。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六、改造升级项目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指通过产品质量提升、产品结构优化、绿色化改造、智能制造改造、功能疏解和产业转移等，在本市行政区域内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不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新增生产能力的固定资产投资项目。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七、扩建项目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指既有企业、事业单位，为增加产品生产能力而扩大生产规模的固定资产投资项目。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八、鼓励发展的新材料产品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指符合工业和信息化部有关文件中明确的特种金属功能材料、高端金属结构材料、先进高分子材料、新型无机非金属材料、高性能复合材料、前沿新材料等产品。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九、清洁燃气无法到达的区域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指由于位置偏远等原因，相关专项规划未安排敷设管道天然气的区域。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十、未列入相关专项规划的成品油加油站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指根据《成品油市场管理办法》(商务部令2006年第23号)和《北京市加油站审批管理程序的规定》(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京政容发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〔2010〕132号)，新建和扩建(含建筑类改造)加油站，必须符合本市加油站行业发展规划，企业在取得规划国土、发展改革、交通、环保、住房城乡建设等相关政府部门的前期批准手续后，向市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商务委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提出申请办理《成品油零售经营批准证书》。不符合本市加油站行业发展规划，未取得规划国土、发展改革、交通、环保、住房城乡建设等相关政府部门批准手续的成品油加油站，市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商务委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不予受理。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lastRenderedPageBreak/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十一、四大物流基地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指顺义空港、通州马驹桥、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平谷马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坊、大兴京南四个物流基地。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十二、未列入相关专项规划的区域性物流中心、未列入相关专项规划的物流仓储设施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相关专项规划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指全市物流业空间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布局规划等专项规划。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十三、PUE值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即电能利用效率，指数据中心年度总耗电与数据中心中IT设备年度总耗电的比值。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十四、</w:t>
      </w:r>
      <w:proofErr w:type="gramStart"/>
      <w:r w:rsidRPr="00DD051C">
        <w:rPr>
          <w:rFonts w:ascii="宋体" w:eastAsia="宋体" w:hAnsi="宋体" w:hint="eastAsia"/>
          <w:b/>
          <w:bCs/>
          <w:sz w:val="21"/>
          <w:szCs w:val="21"/>
        </w:rPr>
        <w:t>云计算</w:t>
      </w:r>
      <w:proofErr w:type="gramEnd"/>
      <w:r w:rsidRPr="00DD051C">
        <w:rPr>
          <w:rFonts w:ascii="宋体" w:eastAsia="宋体" w:hAnsi="宋体" w:hint="eastAsia"/>
          <w:b/>
          <w:bCs/>
          <w:sz w:val="21"/>
          <w:szCs w:val="21"/>
        </w:rPr>
        <w:t>数据中心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指依靠基于网络的计算方式，共享软硬件资源和信息，按需提供系统、平台和软件信息服务，以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云计算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服务为主要收入的数据中心。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十五、高档洗浴场所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指市商务部门公布的大众便民浴池以外的洗浴场所。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十六、家庭服务、理发及美容服务、家用电器修理等生活性服务业适用规范及办理规定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行业标准规范有《家政服务通用要求》(DB11/T417-2007)、《美容美发场所卫生规范》(卫监督发〔2007〕221号)、《家用电子电器维修业服务经营规范》(GB/T28841-2012)等。对于生活性服务业品牌连锁企业在本市设立的门店，依据本市进一步提升生活性服务业品质的工作方案中有关规定办理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十七、商品交易市场设施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指为商品交易有形市场提供经营场所的设施。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十八、“国医大师”“首都国医名师”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指由国家和本市人力社保、卫生等部门评选的“国医大师”“首都国医名师”。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十九、创业空间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指顺应新科技革命和产业变革新趋势、有效满足网络时代大众创业创新需求的新型创业服务平台，是针对早期创业的重要服务载体，主要为创业者提供低成本的工作空间、网络空间、社交空间和资源共享空间，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包括众创空间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、孵化器、创业基地等。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二十、邮政营业场所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lastRenderedPageBreak/>
        <w:t xml:space="preserve">　　指邮政企业提供邮件收寄及其他相关服务的场所。即：邮政支局、邮政所、邮政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投递部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等。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二十一、邮件处理场所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指邮政企业专门用于邮件分拣、封发、储存、交换、转运、投递等处理活动的场所。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二十二、城区老工业区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根据《关于推进城区老工业区搬迁改造的指导意见》(国办发〔2014〕9号)、《关于推进首钢老工业区改造调整和建设发展的意见》(京政发〔2014〕28号)等文件精神，为我国建立独立完整的工业体系、促进老工业城市的形成发展</w:t>
      </w:r>
      <w:proofErr w:type="gramStart"/>
      <w:r w:rsidRPr="00DD051C">
        <w:rPr>
          <w:rFonts w:ascii="宋体" w:eastAsia="宋体" w:hAnsi="宋体" w:hint="eastAsia"/>
          <w:sz w:val="21"/>
          <w:szCs w:val="21"/>
        </w:rPr>
        <w:t>作出</w:t>
      </w:r>
      <w:proofErr w:type="gramEnd"/>
      <w:r w:rsidRPr="00DD051C">
        <w:rPr>
          <w:rFonts w:ascii="宋体" w:eastAsia="宋体" w:hAnsi="宋体" w:hint="eastAsia"/>
          <w:sz w:val="21"/>
          <w:szCs w:val="21"/>
        </w:rPr>
        <w:t>了突出贡献，依托“一五”“二五”和“三线”建设时期国家重点工业项目形成的，且工业企业较为集中、目前仍是当地经济社会发展重要支撑的城市特定区域。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二十三、资源化利用配套建设项目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指作为保障城市运行项目的配套设施，如利用生活垃圾焚烧厂的炉渣、建筑垃圾等生产再生砖等再生产品的建设项目。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</w:t>
      </w:r>
      <w:r w:rsidRPr="00DD051C">
        <w:rPr>
          <w:rFonts w:ascii="宋体" w:eastAsia="宋体" w:hAnsi="宋体" w:hint="eastAsia"/>
          <w:b/>
          <w:bCs/>
          <w:sz w:val="21"/>
          <w:szCs w:val="21"/>
        </w:rPr>
        <w:t>二十四、单一品种</w:t>
      </w:r>
    </w:p>
    <w:p w:rsidR="00DD051C" w:rsidRPr="00DD051C" w:rsidRDefault="00DD051C" w:rsidP="00DD051C">
      <w:pPr>
        <w:spacing w:before="100" w:beforeAutospacing="1" w:after="150" w:line="360" w:lineRule="atLeast"/>
        <w:rPr>
          <w:rFonts w:ascii="宋体" w:eastAsia="宋体" w:hAnsi="宋体"/>
          <w:sz w:val="21"/>
          <w:szCs w:val="21"/>
        </w:rPr>
      </w:pPr>
      <w:r w:rsidRPr="00DD051C">
        <w:rPr>
          <w:rFonts w:ascii="宋体" w:eastAsia="宋体" w:hAnsi="宋体" w:hint="eastAsia"/>
          <w:sz w:val="21"/>
          <w:szCs w:val="21"/>
        </w:rPr>
        <w:t xml:space="preserve">　　指餐饮服务经营者的制售类经营项目仅为热食类制售(限主食制品)、热食类制售(限熟肉制品)、热食类制售(限豆制品)、热食类制售(限糖果制品)、冷食类制售、生食类制售、糕点类制售、自制饮品制售等项目中的一种。</w:t>
      </w:r>
    </w:p>
    <w:p w:rsidR="000719F7" w:rsidRPr="00DD051C" w:rsidRDefault="000719F7" w:rsidP="00DD051C"/>
    <w:sectPr w:rsidR="000719F7" w:rsidRPr="00DD051C" w:rsidSect="006F0BAC">
      <w:pgSz w:w="12240" w:h="15840"/>
      <w:pgMar w:top="709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883"/>
    <w:rsid w:val="00002944"/>
    <w:rsid w:val="000036F7"/>
    <w:rsid w:val="00003DB4"/>
    <w:rsid w:val="00006B45"/>
    <w:rsid w:val="0002721A"/>
    <w:rsid w:val="00040CDE"/>
    <w:rsid w:val="000521DD"/>
    <w:rsid w:val="00061878"/>
    <w:rsid w:val="000719F7"/>
    <w:rsid w:val="00076C37"/>
    <w:rsid w:val="00090BA7"/>
    <w:rsid w:val="00090D48"/>
    <w:rsid w:val="00096385"/>
    <w:rsid w:val="000E0733"/>
    <w:rsid w:val="000F5C09"/>
    <w:rsid w:val="00100931"/>
    <w:rsid w:val="00100E03"/>
    <w:rsid w:val="00106CA3"/>
    <w:rsid w:val="001253AF"/>
    <w:rsid w:val="00137E45"/>
    <w:rsid w:val="00137EF4"/>
    <w:rsid w:val="00166095"/>
    <w:rsid w:val="00167716"/>
    <w:rsid w:val="00172E29"/>
    <w:rsid w:val="00190BCD"/>
    <w:rsid w:val="001B3AB0"/>
    <w:rsid w:val="001C626B"/>
    <w:rsid w:val="00211F95"/>
    <w:rsid w:val="002357CB"/>
    <w:rsid w:val="002808F2"/>
    <w:rsid w:val="002B0F92"/>
    <w:rsid w:val="002D7FA8"/>
    <w:rsid w:val="0030742C"/>
    <w:rsid w:val="0034334F"/>
    <w:rsid w:val="00347DE8"/>
    <w:rsid w:val="003600E7"/>
    <w:rsid w:val="0036720F"/>
    <w:rsid w:val="003703D7"/>
    <w:rsid w:val="003B6883"/>
    <w:rsid w:val="003E14B1"/>
    <w:rsid w:val="003E7784"/>
    <w:rsid w:val="003F6997"/>
    <w:rsid w:val="003F7F49"/>
    <w:rsid w:val="0040026D"/>
    <w:rsid w:val="00414543"/>
    <w:rsid w:val="00440A22"/>
    <w:rsid w:val="00473D74"/>
    <w:rsid w:val="00497119"/>
    <w:rsid w:val="004D563D"/>
    <w:rsid w:val="004E5C37"/>
    <w:rsid w:val="00512025"/>
    <w:rsid w:val="00526D67"/>
    <w:rsid w:val="00552E78"/>
    <w:rsid w:val="00562F62"/>
    <w:rsid w:val="00564E7D"/>
    <w:rsid w:val="00573ADB"/>
    <w:rsid w:val="0057441F"/>
    <w:rsid w:val="00591E7A"/>
    <w:rsid w:val="005961CC"/>
    <w:rsid w:val="005A4C8C"/>
    <w:rsid w:val="005C414A"/>
    <w:rsid w:val="005E6832"/>
    <w:rsid w:val="0065388C"/>
    <w:rsid w:val="006810C0"/>
    <w:rsid w:val="00684CD3"/>
    <w:rsid w:val="00693772"/>
    <w:rsid w:val="006B02C7"/>
    <w:rsid w:val="006B65AE"/>
    <w:rsid w:val="006D2E20"/>
    <w:rsid w:val="006D3806"/>
    <w:rsid w:val="006F0BAC"/>
    <w:rsid w:val="00712E85"/>
    <w:rsid w:val="00727A7A"/>
    <w:rsid w:val="00741A9D"/>
    <w:rsid w:val="00745D4E"/>
    <w:rsid w:val="0074770E"/>
    <w:rsid w:val="00763C52"/>
    <w:rsid w:val="007778E6"/>
    <w:rsid w:val="00796A22"/>
    <w:rsid w:val="00797533"/>
    <w:rsid w:val="007C3A35"/>
    <w:rsid w:val="008006BA"/>
    <w:rsid w:val="008153E1"/>
    <w:rsid w:val="00820D8A"/>
    <w:rsid w:val="0082717D"/>
    <w:rsid w:val="00830C6E"/>
    <w:rsid w:val="00831FB8"/>
    <w:rsid w:val="00863AF7"/>
    <w:rsid w:val="00882405"/>
    <w:rsid w:val="0089694A"/>
    <w:rsid w:val="008E3D58"/>
    <w:rsid w:val="00927E46"/>
    <w:rsid w:val="00982135"/>
    <w:rsid w:val="0099568E"/>
    <w:rsid w:val="009A57F7"/>
    <w:rsid w:val="009C7657"/>
    <w:rsid w:val="009D4EE5"/>
    <w:rsid w:val="00A01835"/>
    <w:rsid w:val="00A07F93"/>
    <w:rsid w:val="00A245B6"/>
    <w:rsid w:val="00A408A3"/>
    <w:rsid w:val="00A549B1"/>
    <w:rsid w:val="00A63A53"/>
    <w:rsid w:val="00A81940"/>
    <w:rsid w:val="00A868D8"/>
    <w:rsid w:val="00A92287"/>
    <w:rsid w:val="00A93818"/>
    <w:rsid w:val="00AD4C84"/>
    <w:rsid w:val="00AF7EEB"/>
    <w:rsid w:val="00B051E9"/>
    <w:rsid w:val="00B173D0"/>
    <w:rsid w:val="00B3437B"/>
    <w:rsid w:val="00B36011"/>
    <w:rsid w:val="00B72E0B"/>
    <w:rsid w:val="00B94B17"/>
    <w:rsid w:val="00BB6B75"/>
    <w:rsid w:val="00BC2D06"/>
    <w:rsid w:val="00BC340A"/>
    <w:rsid w:val="00BD5DF2"/>
    <w:rsid w:val="00C15158"/>
    <w:rsid w:val="00C65FAE"/>
    <w:rsid w:val="00C83901"/>
    <w:rsid w:val="00CB746E"/>
    <w:rsid w:val="00CC0556"/>
    <w:rsid w:val="00CE202E"/>
    <w:rsid w:val="00CE3C64"/>
    <w:rsid w:val="00D004AC"/>
    <w:rsid w:val="00D07752"/>
    <w:rsid w:val="00D33B18"/>
    <w:rsid w:val="00D571B1"/>
    <w:rsid w:val="00D574DB"/>
    <w:rsid w:val="00D645C1"/>
    <w:rsid w:val="00D64F3F"/>
    <w:rsid w:val="00D674A5"/>
    <w:rsid w:val="00D74961"/>
    <w:rsid w:val="00D768E0"/>
    <w:rsid w:val="00D76F89"/>
    <w:rsid w:val="00D921DD"/>
    <w:rsid w:val="00D96C32"/>
    <w:rsid w:val="00DB011C"/>
    <w:rsid w:val="00DB212B"/>
    <w:rsid w:val="00DC2269"/>
    <w:rsid w:val="00DD051C"/>
    <w:rsid w:val="00DD4601"/>
    <w:rsid w:val="00DE4DF2"/>
    <w:rsid w:val="00DE7176"/>
    <w:rsid w:val="00E03E82"/>
    <w:rsid w:val="00E60CD1"/>
    <w:rsid w:val="00E630E2"/>
    <w:rsid w:val="00E674A3"/>
    <w:rsid w:val="00E91293"/>
    <w:rsid w:val="00E950C9"/>
    <w:rsid w:val="00EA4162"/>
    <w:rsid w:val="00EA5D6F"/>
    <w:rsid w:val="00EC127B"/>
    <w:rsid w:val="00EC7573"/>
    <w:rsid w:val="00ED0087"/>
    <w:rsid w:val="00ED1368"/>
    <w:rsid w:val="00EE508A"/>
    <w:rsid w:val="00F10696"/>
    <w:rsid w:val="00F23DC0"/>
    <w:rsid w:val="00F361B4"/>
    <w:rsid w:val="00F7691E"/>
    <w:rsid w:val="00F940A1"/>
    <w:rsid w:val="00F94318"/>
    <w:rsid w:val="00FC7A18"/>
    <w:rsid w:val="00FD41BA"/>
    <w:rsid w:val="00FF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FCB0D6B-9560-4C6F-B5DF-E253B198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552E78"/>
    <w:pPr>
      <w:spacing w:after="0" w:line="240" w:lineRule="auto"/>
      <w:outlineLvl w:val="0"/>
    </w:pPr>
    <w:rPr>
      <w:rFonts w:ascii="Times New Roman" w:hAnsi="Times New Roman"/>
      <w:kern w:val="36"/>
      <w:sz w:val="18"/>
      <w:szCs w:val="1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357CB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72E29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locked/>
    <w:rsid w:val="00552E78"/>
    <w:rPr>
      <w:rFonts w:ascii="Times New Roman" w:hAnsi="Times New Roman" w:cs="Times New Roman"/>
      <w:kern w:val="36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locked/>
    <w:rsid w:val="002357CB"/>
    <w:rPr>
      <w:rFonts w:asciiTheme="majorHAnsi" w:eastAsiaTheme="majorEastAsia" w:hAnsiTheme="majorHAnsi" w:cs="Times New Roman"/>
      <w:color w:val="2E74B5" w:themeColor="accent1" w:themeShade="BF"/>
      <w:sz w:val="26"/>
      <w:szCs w:val="26"/>
    </w:rPr>
  </w:style>
  <w:style w:type="character" w:customStyle="1" w:styleId="3Char">
    <w:name w:val="标题 3 Char"/>
    <w:basedOn w:val="a0"/>
    <w:link w:val="3"/>
    <w:uiPriority w:val="9"/>
    <w:semiHidden/>
    <w:locked/>
    <w:rsid w:val="00172E29"/>
    <w:rPr>
      <w:rFonts w:asciiTheme="majorHAnsi" w:eastAsiaTheme="majorEastAsia" w:hAnsiTheme="majorHAnsi" w:cs="Times New Roman"/>
      <w:color w:val="1F4D78" w:themeColor="accent1" w:themeShade="7F"/>
      <w:sz w:val="24"/>
      <w:szCs w:val="24"/>
    </w:rPr>
  </w:style>
  <w:style w:type="character" w:styleId="a3">
    <w:name w:val="Hyperlink"/>
    <w:basedOn w:val="a0"/>
    <w:uiPriority w:val="99"/>
    <w:unhideWhenUsed/>
    <w:rsid w:val="003B6883"/>
    <w:rPr>
      <w:rFonts w:cs="Times New Roman"/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036F7"/>
    <w:rPr>
      <w:rFonts w:cs="Times New Roman"/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5E68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747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locked/>
    <w:rsid w:val="0074770E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DD051C"/>
    <w:rPr>
      <w:b/>
      <w:bCs/>
    </w:rPr>
  </w:style>
  <w:style w:type="paragraph" w:styleId="a8">
    <w:name w:val="List Paragraph"/>
    <w:basedOn w:val="a"/>
    <w:uiPriority w:val="34"/>
    <w:qFormat/>
    <w:rsid w:val="006F0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3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2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62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62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60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4596">
                      <w:marLeft w:val="0"/>
                      <w:marRight w:val="0"/>
                      <w:marTop w:val="100"/>
                      <w:marBottom w:val="100"/>
                      <w:divBdr>
                        <w:top w:val="single" w:sz="6" w:space="15" w:color="BBBBBB"/>
                        <w:left w:val="single" w:sz="6" w:space="23" w:color="BBBBBB"/>
                        <w:bottom w:val="single" w:sz="6" w:space="15" w:color="BBBBBB"/>
                        <w:right w:val="single" w:sz="6" w:space="23" w:color="BBBBBB"/>
                      </w:divBdr>
                      <w:divsChild>
                        <w:div w:id="153662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0166B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62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2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624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2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245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24590">
                      <w:marLeft w:val="0"/>
                      <w:marRight w:val="0"/>
                      <w:marTop w:val="100"/>
                      <w:marBottom w:val="100"/>
                      <w:divBdr>
                        <w:top w:val="single" w:sz="6" w:space="15" w:color="BBBBBB"/>
                        <w:left w:val="single" w:sz="6" w:space="23" w:color="BBBBBB"/>
                        <w:bottom w:val="single" w:sz="6" w:space="15" w:color="BBBBBB"/>
                        <w:right w:val="single" w:sz="6" w:space="23" w:color="BBBBBB"/>
                      </w:divBdr>
                      <w:divsChild>
                        <w:div w:id="1536624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0" w:color="0166B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62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4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5B7E30-6668-4B69-9F00-8B995FFA6C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1A52F3-85E7-45F2-A3A5-E2E786A0C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121372-C8F6-47D2-8CF0-77F817D5C5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PricewaterhouseCoopers</Company>
  <LinksUpToDate>false</LinksUpToDate>
  <CharactersWithSpaces>2608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Liyan Wang</dc:creator>
  <cp:keywords/>
  <dc:description/>
  <cp:lastModifiedBy>     </cp:lastModifiedBy>
  <cp:revision>2</cp:revision>
  <cp:lastPrinted>2018-08-30T03:33:00Z</cp:lastPrinted>
  <dcterms:created xsi:type="dcterms:W3CDTF">2018-12-05T01:16:00Z</dcterms:created>
  <dcterms:modified xsi:type="dcterms:W3CDTF">2018-12-05T01:16:00Z</dcterms:modified>
</cp:coreProperties>
</file>