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tbl>
      <w:tblPr>
        <w:tblStyle w:val="3"/>
        <w:tblW w:w="72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85"/>
        <w:gridCol w:w="714"/>
        <w:gridCol w:w="442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40" w:type="dxa"/>
            <w:gridSpan w:val="4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-SA"/>
              </w:rPr>
              <w:t>建设项目月平均预计缴费人次表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序号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项目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月平均预计缴费人次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建筑工程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地铁工程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3</w:t>
            </w:r>
          </w:p>
        </w:tc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市政工程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道桥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2520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4</w:t>
            </w:r>
          </w:p>
        </w:tc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管道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40" w:type="dxa"/>
            <w:gridSpan w:val="4"/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-SA"/>
              </w:rPr>
              <w:t>注：市政管道工程中的混凝土方沟按道桥工程的标准执行。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 w:first="0" w:oth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87C55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2018-11-15T09:44:57Z</dcterms:created>
  <cp:lastModifiedBy>Administrator</cp:lastModifiedBy>
  <dcterms:modified xsi:type="dcterms:W3CDTF">2018-11-15T09:45:10Z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