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eastAsia="黑体" w:cs="黑体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3"/>
        <w:tblW w:w="1362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158"/>
        <w:gridCol w:w="662"/>
        <w:gridCol w:w="290"/>
        <w:gridCol w:w="3170"/>
        <w:gridCol w:w="3580"/>
        <w:gridCol w:w="3600"/>
        <w:gridCol w:w="746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2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-SA"/>
              </w:rPr>
              <w:t>建设项目职工工伤保险待遇明细表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2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补偿类型</w:t>
            </w:r>
          </w:p>
        </w:tc>
        <w:tc>
          <w:tcPr>
            <w:tcW w:w="34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伤残津贴*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一次性待遇</w:t>
            </w:r>
          </w:p>
        </w:tc>
        <w:tc>
          <w:tcPr>
            <w:tcW w:w="7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伤残补助金*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工伤医疗补助金*和伤残就业补助金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因工伤残待遇</w:t>
            </w:r>
          </w:p>
        </w:tc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1级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本市上年度职工月平均工资×90%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27个月本市上年度职工月平均工资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  <w:tc>
          <w:tcPr>
            <w:tcW w:w="7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工伤职工住院治疗工伤的，伙食补助费为每人每天30元*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2级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本市上年度职工月平均工资×85%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25个月本市上年度职工月平均工资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3级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本市上年度职工月平均工资×80%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23个月本市上年度职工月平均工资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4级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本市上年度职工月平均工资×75%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21个月本市上年度职工月平均工资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5级</w:t>
            </w:r>
          </w:p>
        </w:tc>
        <w:tc>
          <w:tcPr>
            <w:tcW w:w="34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18个月本市上年度职工月平均工资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18个月本市上年度职工月平均工资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6级</w:t>
            </w:r>
          </w:p>
        </w:tc>
        <w:tc>
          <w:tcPr>
            <w:tcW w:w="34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16个月本市上年度职工月平均工资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15个月本市上年度职工月平均工资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7级</w:t>
            </w:r>
          </w:p>
        </w:tc>
        <w:tc>
          <w:tcPr>
            <w:tcW w:w="34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13个月本市上年度职工月平均工资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12个月本市上年度职工月平均工资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8级</w:t>
            </w:r>
          </w:p>
        </w:tc>
        <w:tc>
          <w:tcPr>
            <w:tcW w:w="34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11个月本市上年度职工月平均工资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9个月本市上年度职工月平均工资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9级</w:t>
            </w:r>
          </w:p>
        </w:tc>
        <w:tc>
          <w:tcPr>
            <w:tcW w:w="34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9个月本市上年度职工月平均工资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6个月本市上年度职工月平均工资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10级</w:t>
            </w:r>
          </w:p>
        </w:tc>
        <w:tc>
          <w:tcPr>
            <w:tcW w:w="34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7个月本市上年度职工月平均工资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3个月本市上年度职工月平均工资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停工留薪期待遇</w:t>
            </w:r>
          </w:p>
        </w:tc>
        <w:tc>
          <w:tcPr>
            <w:tcW w:w="10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原工资福利待遇不变，生活不能自理需要护理的，由所在单位负责。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生活护理费（以鉴定等级按月发给）*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完全不能自理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大部分不能自理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部分不能自理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本市上年度职工月平均工资×50%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本市上年度职工月平均工资×40%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本市上年度职工月平均工资×30%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残疾辅助器具费*</w:t>
            </w:r>
          </w:p>
        </w:tc>
        <w:tc>
          <w:tcPr>
            <w:tcW w:w="10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经劳动能力鉴定委员会批准，配置辅助器具费用按《北京市工伤辅助器具配置项目及费用限额标准》支付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工伤医疗费*</w:t>
            </w:r>
          </w:p>
        </w:tc>
        <w:tc>
          <w:tcPr>
            <w:tcW w:w="10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治疗工伤伤害部位，按《工伤保险药品、诊疗项目、住院服务标准支付范围》支付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因工死亡待遇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丧葬补助金*</w:t>
            </w:r>
          </w:p>
        </w:tc>
        <w:tc>
          <w:tcPr>
            <w:tcW w:w="10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本市上年度职工月平均工资×6个月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一次性工亡补助金*</w:t>
            </w:r>
          </w:p>
        </w:tc>
        <w:tc>
          <w:tcPr>
            <w:tcW w:w="10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20倍上一年度全国城镇居民人均可支配收入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供养亲属抚恤金*</w:t>
            </w:r>
          </w:p>
        </w:tc>
        <w:tc>
          <w:tcPr>
            <w:tcW w:w="10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配偶：本市上年度职工月平均工资×40%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其他供养亲属：本市上年度职工月平均工资×30%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孤寡老人或孤儿：在上述标准基础上增加10%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工伤医疗费*</w:t>
            </w:r>
          </w:p>
        </w:tc>
        <w:tc>
          <w:tcPr>
            <w:tcW w:w="10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工伤职工抢救治疗的费用，按《工伤保险药品、诊疗项目、住院服务标准支付范围》支付</w:t>
            </w: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5280" w:type="dxa"/>
            <w:gridSpan w:val="4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注：“*”为工伤保险基金支付项目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/>
    <w:sectPr>
      <w:pgSz w:w="15840" w:h="12240" w:orient="landscape"/>
      <w:pgMar w:top="1800" w:right="1440" w:bottom="1800" w:left="1440" w:header="720" w:footer="720" w:gutter="0"/>
      <w:paperSrc w:first="0" w:oth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@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6A540DE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pPr>
      <w:widowControl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2018-11-15T09:48:47Z</dcterms:created>
  <cp:lastModifiedBy>Administrator</cp:lastModifiedBy>
  <dcterms:modified xsi:type="dcterms:W3CDTF">2018-11-15T09:49:12Z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