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黑体" w:eastAsia="黑体" w:cs="黑体"/>
          <w:bCs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bCs/>
          <w:kern w:val="2"/>
          <w:sz w:val="32"/>
          <w:szCs w:val="32"/>
          <w:lang w:val="en-US" w:eastAsia="zh-CN" w:bidi="ar-SA"/>
        </w:rPr>
        <w:t>附件5</w:t>
      </w:r>
    </w:p>
    <w:p>
      <w:pPr>
        <w:widowControl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-SA"/>
        </w:rPr>
        <w:t>北京市建设项目职工工伤保险一次性趸缴汇总表（表四-4）</w:t>
      </w:r>
    </w:p>
    <w:p>
      <w:pPr>
        <w:widowControl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报表日期：   年  月</w:t>
      </w:r>
    </w:p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组织机构代码：                                      单位名称（章）：</w:t>
      </w:r>
    </w:p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所属社保经办机构：                                                                                         单位：元</w:t>
      </w:r>
    </w:p>
    <w:tbl>
      <w:tblPr>
        <w:tblStyle w:val="3"/>
        <w:tblW w:w="141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2552"/>
        <w:gridCol w:w="2551"/>
        <w:gridCol w:w="2631"/>
        <w:gridCol w:w="2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组织机构代码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单位简称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上年度职工月</w:t>
            </w:r>
          </w:p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平均工资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合同工期</w:t>
            </w:r>
          </w:p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总天数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月平均预计缴费人次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趸缴总额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栏次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3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4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单位负责人：        填报人：       联系电话：       填报日期：   年   月   日</w:t>
      </w:r>
    </w:p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说明：1、此表一式三份，单位、社保经办机构业务、财务各留存一份。</w:t>
      </w:r>
    </w:p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2、月平均预计缴费人次标准：建筑工程2520;地铁工程4680；市政道桥工程2520，市政管道工程中的混凝土方沟工程2520；市政管道工程（除混凝土方沟）450。</w:t>
      </w:r>
    </w:p>
    <w:p>
      <w:pPr>
        <w:widowControl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3、5栏=2栏×60%×（3栏÷30）×1%×月平均预计缴费人次÷20.83</w:t>
      </w:r>
    </w:p>
    <w:p/>
    <w:sectPr>
      <w:pgSz w:w="15840" w:h="12240" w:orient="landscape"/>
      <w:pgMar w:top="1800" w:right="1440" w:bottom="1800" w:left="1440" w:header="720" w:footer="720" w:gutter="0"/>
      <w:paperSrc w:first="0" w:oth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76F4BA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pPr>
      <w:widowControl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2018-11-15T09:51:27Z</dcterms:created>
  <cp:lastModifiedBy>Administrator</cp:lastModifiedBy>
  <dcterms:modified xsi:type="dcterms:W3CDTF">2018-11-15T09:51:35Z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