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66" w:rsidRPr="006637AF" w:rsidRDefault="00853C66" w:rsidP="00853C66">
      <w:pPr>
        <w:jc w:val="left"/>
        <w:rPr>
          <w:rFonts w:ascii="仿宋_GB2312" w:eastAsia="仿宋_GB2312" w:hAnsi="黑体"/>
          <w:b/>
          <w:color w:val="000000"/>
          <w:sz w:val="32"/>
        </w:rPr>
      </w:pPr>
      <w:r w:rsidRPr="006637AF">
        <w:rPr>
          <w:rFonts w:ascii="仿宋_GB2312" w:eastAsia="仿宋_GB2312" w:hAnsi="黑体" w:hint="eastAsia"/>
          <w:b/>
          <w:bCs/>
          <w:color w:val="000000"/>
          <w:sz w:val="32"/>
        </w:rPr>
        <w:t>附件4:</w:t>
      </w:r>
    </w:p>
    <w:p w:rsidR="00853C66" w:rsidRPr="00E43BB2" w:rsidRDefault="00853C66" w:rsidP="00E3672C">
      <w:pPr>
        <w:ind w:firstLineChars="375" w:firstLine="1200"/>
        <w:jc w:val="center"/>
        <w:rPr>
          <w:rFonts w:ascii="华文中宋" w:eastAsia="华文中宋" w:hAnsi="华文中宋" w:cs="黑体"/>
          <w:color w:val="000000"/>
          <w:sz w:val="32"/>
          <w:szCs w:val="32"/>
        </w:rPr>
      </w:pPr>
      <w:r w:rsidRPr="00E43BB2">
        <w:rPr>
          <w:rFonts w:ascii="华文中宋" w:eastAsia="华文中宋" w:hAnsi="华文中宋" w:cs="黑体" w:hint="eastAsia"/>
          <w:color w:val="000000"/>
          <w:sz w:val="32"/>
          <w:szCs w:val="32"/>
        </w:rPr>
        <w:t>新能源汽车产品技术标准</w:t>
      </w:r>
    </w:p>
    <w:p w:rsidR="00853C66" w:rsidRPr="00F97C67" w:rsidRDefault="00853C66" w:rsidP="00E3672C">
      <w:pPr>
        <w:ind w:firstLineChars="375" w:firstLine="788"/>
        <w:rPr>
          <w:rFonts w:ascii="仿宋_GB2312" w:eastAsia="仿宋_GB2312" w:hAnsi="黑体" w:cs="黑体"/>
          <w:color w:val="000000"/>
          <w:szCs w:val="21"/>
        </w:rPr>
      </w:pPr>
    </w:p>
    <w:p w:rsidR="00853C66" w:rsidRDefault="00853C66" w:rsidP="00E3672C">
      <w:pPr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 w:rsidRPr="00AF137E">
        <w:rPr>
          <w:rFonts w:ascii="黑体" w:eastAsia="黑体" w:hAnsi="黑体" w:cs="黑体" w:hint="eastAsia"/>
          <w:color w:val="000000"/>
          <w:sz w:val="32"/>
          <w:szCs w:val="32"/>
        </w:rPr>
        <w:t>一、新能源汽车纯电动续驶里程标准</w:t>
      </w:r>
    </w:p>
    <w:p w:rsidR="00853C66" w:rsidRPr="00AF137E" w:rsidRDefault="00853C66" w:rsidP="00E3672C">
      <w:pPr>
        <w:ind w:firstLineChars="200" w:firstLine="640"/>
        <w:jc w:val="right"/>
        <w:rPr>
          <w:rFonts w:ascii="仿宋_GB2312" w:eastAsia="仿宋_GB2312"/>
          <w:color w:val="000000"/>
          <w:sz w:val="32"/>
          <w:szCs w:val="32"/>
        </w:rPr>
      </w:pPr>
      <w:r w:rsidRPr="00AF137E">
        <w:rPr>
          <w:rFonts w:ascii="仿宋_GB2312" w:eastAsia="仿宋_GB2312" w:hint="eastAsia"/>
          <w:color w:val="000000"/>
          <w:sz w:val="32"/>
          <w:szCs w:val="32"/>
        </w:rPr>
        <w:t>单位：</w:t>
      </w:r>
      <w:proofErr w:type="gramStart"/>
      <w:r w:rsidRPr="00AF137E">
        <w:rPr>
          <w:rFonts w:ascii="仿宋_GB2312" w:eastAsia="仿宋_GB2312"/>
          <w:color w:val="000000"/>
          <w:sz w:val="32"/>
          <w:szCs w:val="32"/>
        </w:rPr>
        <w:t>km</w:t>
      </w:r>
      <w:proofErr w:type="gramEnd"/>
    </w:p>
    <w:tbl>
      <w:tblPr>
        <w:tblW w:w="9218" w:type="dxa"/>
        <w:tblInd w:w="-106" w:type="dxa"/>
        <w:tblLayout w:type="fixed"/>
        <w:tblLook w:val="0000"/>
      </w:tblPr>
      <w:tblGrid>
        <w:gridCol w:w="2291"/>
        <w:gridCol w:w="1309"/>
        <w:gridCol w:w="1118"/>
        <w:gridCol w:w="1146"/>
        <w:gridCol w:w="1282"/>
        <w:gridCol w:w="2072"/>
      </w:tblGrid>
      <w:tr w:rsidR="00853C66" w:rsidRPr="00853C66" w:rsidTr="00CE4972">
        <w:trPr>
          <w:trHeight w:val="965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类   别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乘用车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客车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货车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专用车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测试方法</w:t>
            </w:r>
          </w:p>
        </w:tc>
      </w:tr>
      <w:tr w:rsidR="00853C66" w:rsidRPr="00853C66" w:rsidTr="00853C66">
        <w:trPr>
          <w:trHeight w:val="1178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纯电动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keepNext/>
              <w:keepLines/>
              <w:spacing w:before="260" w:after="260"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color w:val="000000"/>
                <w:szCs w:val="21"/>
              </w:rPr>
              <w:t>≥200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color w:val="000000"/>
                <w:szCs w:val="21"/>
              </w:rPr>
              <w:t>≥80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color w:val="000000"/>
                <w:szCs w:val="21"/>
              </w:rPr>
              <w:t>≥80</w:t>
            </w:r>
          </w:p>
        </w:tc>
        <w:tc>
          <w:tcPr>
            <w:tcW w:w="20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color w:val="000000"/>
                <w:szCs w:val="21"/>
              </w:rPr>
              <w:t>M1、N1类采用工况法，其他</w:t>
            </w:r>
            <w:proofErr w:type="gramStart"/>
            <w:r w:rsidRPr="00853C66">
              <w:rPr>
                <w:rFonts w:ascii="仿宋_GB2312" w:eastAsia="仿宋_GB2312" w:hAnsi="宋体" w:hint="eastAsia"/>
                <w:color w:val="000000"/>
                <w:szCs w:val="21"/>
              </w:rPr>
              <w:t>暂采用</w:t>
            </w:r>
            <w:proofErr w:type="gramEnd"/>
            <w:r w:rsidRPr="00853C66">
              <w:rPr>
                <w:rFonts w:ascii="仿宋_GB2312" w:eastAsia="仿宋_GB2312" w:hAnsi="宋体" w:hint="eastAsia"/>
                <w:color w:val="000000"/>
                <w:szCs w:val="21"/>
              </w:rPr>
              <w:t>40km/h等速法。</w:t>
            </w:r>
          </w:p>
        </w:tc>
      </w:tr>
      <w:tr w:rsidR="00853C66" w:rsidRPr="00853C66" w:rsidTr="00CE4972">
        <w:trPr>
          <w:trHeight w:val="833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插电式（</w:t>
            </w:r>
            <w:proofErr w:type="gramStart"/>
            <w:r w:rsidRPr="00853C66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含增程式</w:t>
            </w:r>
            <w:proofErr w:type="gramEnd"/>
            <w:r w:rsidRPr="00853C66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）</w:t>
            </w:r>
          </w:p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混合动力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color w:val="000000"/>
                <w:szCs w:val="21"/>
              </w:rPr>
              <w:t>≥50</w:t>
            </w:r>
          </w:p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color w:val="000000"/>
                <w:szCs w:val="21"/>
              </w:rPr>
              <w:t>（工况法）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color w:val="000000"/>
                <w:szCs w:val="21"/>
              </w:rPr>
              <w:t>≥50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color w:val="000000"/>
                <w:szCs w:val="21"/>
              </w:rPr>
              <w:t>≥50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color w:val="000000"/>
                <w:szCs w:val="21"/>
              </w:rPr>
              <w:t>≥50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color w:val="000000"/>
                <w:szCs w:val="21"/>
              </w:rPr>
              <w:t>M1、N1类采用工况法或60km/h等速法，其他</w:t>
            </w:r>
            <w:proofErr w:type="gramStart"/>
            <w:r w:rsidRPr="00853C66">
              <w:rPr>
                <w:rFonts w:ascii="仿宋_GB2312" w:eastAsia="仿宋_GB2312" w:hAnsi="宋体" w:hint="eastAsia"/>
                <w:color w:val="000000"/>
                <w:szCs w:val="21"/>
              </w:rPr>
              <w:t>暂采用</w:t>
            </w:r>
            <w:proofErr w:type="gramEnd"/>
            <w:r w:rsidRPr="00853C66">
              <w:rPr>
                <w:rFonts w:ascii="仿宋_GB2312" w:eastAsia="仿宋_GB2312" w:hAnsi="宋体" w:hint="eastAsia"/>
                <w:color w:val="000000"/>
                <w:szCs w:val="21"/>
              </w:rPr>
              <w:t>40km/h等速法。</w:t>
            </w:r>
          </w:p>
        </w:tc>
      </w:tr>
      <w:tr w:rsidR="00853C66" w:rsidRPr="00853C66" w:rsidTr="00853C66">
        <w:trPr>
          <w:trHeight w:val="696"/>
        </w:trPr>
        <w:tc>
          <w:tcPr>
            <w:tcW w:w="229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keepNext/>
              <w:keepLines/>
              <w:spacing w:before="260" w:after="260" w:line="300" w:lineRule="exact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color w:val="000000"/>
                <w:szCs w:val="21"/>
              </w:rPr>
              <w:t>≥70</w:t>
            </w:r>
          </w:p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color w:val="000000"/>
                <w:szCs w:val="21"/>
              </w:rPr>
              <w:t>（等速法）</w:t>
            </w:r>
          </w:p>
        </w:tc>
        <w:tc>
          <w:tcPr>
            <w:tcW w:w="1118" w:type="dxa"/>
            <w:vMerge/>
            <w:tcBorders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keepNext/>
              <w:keepLines/>
              <w:spacing w:before="260" w:after="260"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keepNext/>
              <w:keepLines/>
              <w:spacing w:before="260" w:after="260"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keepNext/>
              <w:keepLines/>
              <w:spacing w:before="260" w:after="260"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2072" w:type="dxa"/>
            <w:vMerge/>
            <w:tcBorders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keepNext/>
              <w:keepLines/>
              <w:spacing w:before="260" w:after="260"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853C66" w:rsidRPr="00853C66" w:rsidTr="00853C66">
        <w:trPr>
          <w:trHeight w:val="1117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b/>
                <w:bCs/>
                <w:color w:val="000000"/>
                <w:szCs w:val="21"/>
              </w:rPr>
              <w:t>燃料电池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keepNext/>
              <w:keepLines/>
              <w:spacing w:before="260" w:after="260"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color w:val="000000"/>
                <w:szCs w:val="21"/>
              </w:rPr>
              <w:t>≥300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color w:val="000000"/>
                <w:szCs w:val="21"/>
              </w:rPr>
              <w:t>≥300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color w:val="000000"/>
                <w:szCs w:val="21"/>
              </w:rPr>
              <w:t>≥300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C66" w:rsidRPr="00853C66" w:rsidRDefault="00853C66" w:rsidP="00E3672C">
            <w:pPr>
              <w:spacing w:line="300" w:lineRule="exact"/>
              <w:rPr>
                <w:rFonts w:ascii="仿宋_GB2312" w:eastAsia="仿宋_GB2312" w:hAnsi="宋体"/>
                <w:color w:val="000000"/>
                <w:szCs w:val="21"/>
              </w:rPr>
            </w:pPr>
            <w:r w:rsidRPr="00853C66">
              <w:rPr>
                <w:rFonts w:ascii="仿宋_GB2312" w:eastAsia="仿宋_GB2312" w:hAnsi="宋体" w:hint="eastAsia"/>
                <w:color w:val="000000"/>
                <w:szCs w:val="21"/>
              </w:rPr>
              <w:t>M1、N1类采用工况法，其他</w:t>
            </w:r>
            <w:proofErr w:type="gramStart"/>
            <w:r w:rsidRPr="00853C66">
              <w:rPr>
                <w:rFonts w:ascii="仿宋_GB2312" w:eastAsia="仿宋_GB2312" w:hAnsi="宋体" w:hint="eastAsia"/>
                <w:color w:val="000000"/>
                <w:szCs w:val="21"/>
              </w:rPr>
              <w:t>暂采用</w:t>
            </w:r>
            <w:proofErr w:type="gramEnd"/>
            <w:r w:rsidRPr="00853C66">
              <w:rPr>
                <w:rFonts w:ascii="仿宋_GB2312" w:eastAsia="仿宋_GB2312" w:hAnsi="宋体" w:hint="eastAsia"/>
                <w:color w:val="000000"/>
                <w:szCs w:val="21"/>
              </w:rPr>
              <w:t>40km/h等速法。</w:t>
            </w:r>
          </w:p>
        </w:tc>
      </w:tr>
    </w:tbl>
    <w:p w:rsidR="00853C66" w:rsidRPr="00853C66" w:rsidRDefault="00853C66" w:rsidP="00E3672C">
      <w:pPr>
        <w:spacing w:line="480" w:lineRule="exact"/>
        <w:rPr>
          <w:rFonts w:ascii="仿宋_GB2312" w:eastAsia="仿宋_GB2312"/>
          <w:color w:val="000000"/>
          <w:szCs w:val="21"/>
        </w:rPr>
      </w:pPr>
      <w:r w:rsidRPr="00853C66">
        <w:rPr>
          <w:rFonts w:ascii="仿宋_GB2312" w:eastAsia="仿宋_GB2312" w:hint="eastAsia"/>
          <w:color w:val="000000"/>
          <w:szCs w:val="21"/>
        </w:rPr>
        <w:t>注：1.超级电容、钛酸</w:t>
      </w:r>
      <w:proofErr w:type="gramStart"/>
      <w:r w:rsidRPr="00853C66">
        <w:rPr>
          <w:rFonts w:ascii="仿宋_GB2312" w:eastAsia="仿宋_GB2312" w:hint="eastAsia"/>
          <w:color w:val="000000"/>
          <w:szCs w:val="21"/>
        </w:rPr>
        <w:t>锂快充纯</w:t>
      </w:r>
      <w:proofErr w:type="gramEnd"/>
      <w:r w:rsidRPr="00853C66">
        <w:rPr>
          <w:rFonts w:ascii="仿宋_GB2312" w:eastAsia="仿宋_GB2312" w:hint="eastAsia"/>
          <w:color w:val="000000"/>
          <w:szCs w:val="21"/>
        </w:rPr>
        <w:t>电动客车无纯电动续驶里程要求。</w:t>
      </w:r>
    </w:p>
    <w:p w:rsidR="00853C66" w:rsidRDefault="00853C66" w:rsidP="00E3672C">
      <w:pPr>
        <w:spacing w:line="480" w:lineRule="exact"/>
        <w:ind w:leftChars="200" w:left="420"/>
        <w:rPr>
          <w:rFonts w:ascii="仿宋_GB2312" w:eastAsia="仿宋_GB2312"/>
          <w:color w:val="000000"/>
          <w:szCs w:val="21"/>
        </w:rPr>
      </w:pPr>
      <w:r w:rsidRPr="00853C66">
        <w:rPr>
          <w:rFonts w:ascii="仿宋_GB2312" w:eastAsia="仿宋_GB2312" w:hint="eastAsia"/>
          <w:color w:val="000000"/>
          <w:szCs w:val="21"/>
        </w:rPr>
        <w:t>2. M1类是指包括驾驶员座位在内，座位数不超过九座的载客车辆。</w:t>
      </w:r>
    </w:p>
    <w:p w:rsidR="00853C66" w:rsidRPr="00853C66" w:rsidRDefault="00853C66" w:rsidP="00E3672C">
      <w:pPr>
        <w:spacing w:line="480" w:lineRule="exact"/>
        <w:ind w:leftChars="200" w:left="420" w:firstLineChars="150" w:firstLine="315"/>
        <w:rPr>
          <w:rFonts w:ascii="仿宋_GB2312" w:eastAsia="仿宋_GB2312"/>
          <w:color w:val="000000"/>
          <w:szCs w:val="21"/>
        </w:rPr>
      </w:pPr>
      <w:r w:rsidRPr="00853C66">
        <w:rPr>
          <w:rFonts w:ascii="仿宋_GB2312" w:eastAsia="仿宋_GB2312" w:hint="eastAsia"/>
          <w:color w:val="000000"/>
          <w:szCs w:val="21"/>
        </w:rPr>
        <w:t>N1类是指最大设计总质量不超过3500kg的载货车辆。</w:t>
      </w:r>
    </w:p>
    <w:p w:rsidR="00853C66" w:rsidRPr="00AF137E" w:rsidRDefault="00853C66" w:rsidP="00853C66">
      <w:pPr>
        <w:ind w:firstLineChars="200" w:firstLine="640"/>
        <w:rPr>
          <w:rFonts w:ascii="黑体" w:eastAsia="黑体" w:hAnsi="黑体" w:cs="仿宋_GB2312"/>
          <w:bCs/>
          <w:color w:val="000000"/>
          <w:sz w:val="32"/>
          <w:szCs w:val="32"/>
        </w:rPr>
      </w:pPr>
      <w:r w:rsidRPr="00AF137E">
        <w:rPr>
          <w:rFonts w:ascii="黑体" w:eastAsia="黑体" w:hAnsi="黑体" w:cs="楷体_GB2312" w:hint="eastAsia"/>
          <w:bCs/>
          <w:color w:val="000000"/>
          <w:sz w:val="32"/>
          <w:szCs w:val="32"/>
        </w:rPr>
        <w:t>二、</w:t>
      </w:r>
      <w:r w:rsidRPr="00AF137E">
        <w:rPr>
          <w:rFonts w:ascii="黑体" w:eastAsia="黑体" w:hAnsi="黑体" w:cs="仿宋_GB2312" w:hint="eastAsia"/>
          <w:bCs/>
          <w:color w:val="000000"/>
          <w:sz w:val="32"/>
          <w:szCs w:val="32"/>
        </w:rPr>
        <w:t>新能源乘用车技术标准</w:t>
      </w:r>
    </w:p>
    <w:p w:rsidR="00853C66" w:rsidRPr="00AF137E" w:rsidRDefault="00853C66" w:rsidP="00853C66">
      <w:pPr>
        <w:ind w:firstLineChars="200" w:firstLine="640"/>
        <w:rPr>
          <w:rFonts w:ascii="仿宋_GB2312" w:eastAsia="仿宋_GB2312" w:hAnsi="黑体" w:cs="楷体_GB2312"/>
          <w:bCs/>
          <w:color w:val="000000"/>
          <w:sz w:val="32"/>
          <w:szCs w:val="32"/>
        </w:rPr>
      </w:pPr>
      <w:r w:rsidRPr="00AF137E">
        <w:rPr>
          <w:rFonts w:ascii="仿宋_GB2312" w:eastAsia="仿宋_GB2312" w:hint="eastAsia"/>
          <w:color w:val="000000"/>
          <w:sz w:val="32"/>
          <w:szCs w:val="32"/>
        </w:rPr>
        <w:t>纯电动乘用车和燃料电池乘用车不属于车船税征税范围。免征车船税的</w:t>
      </w:r>
      <w:r w:rsidRPr="00AF137E">
        <w:rPr>
          <w:rFonts w:ascii="仿宋_GB2312" w:eastAsia="仿宋_GB2312" w:hAnsi="黑体" w:cs="仿宋_GB2312" w:hint="eastAsia"/>
          <w:bCs/>
          <w:color w:val="000000"/>
          <w:sz w:val="32"/>
          <w:szCs w:val="32"/>
        </w:rPr>
        <w:t>插电式混合动力（</w:t>
      </w:r>
      <w:proofErr w:type="gramStart"/>
      <w:r w:rsidRPr="00AF137E">
        <w:rPr>
          <w:rFonts w:ascii="仿宋_GB2312" w:eastAsia="仿宋_GB2312" w:hAnsi="黑体" w:cs="仿宋_GB2312" w:hint="eastAsia"/>
          <w:bCs/>
          <w:color w:val="000000"/>
          <w:sz w:val="32"/>
          <w:szCs w:val="32"/>
        </w:rPr>
        <w:t>含增程式</w:t>
      </w:r>
      <w:proofErr w:type="gramEnd"/>
      <w:r w:rsidRPr="00AF137E">
        <w:rPr>
          <w:rFonts w:ascii="仿宋_GB2312" w:eastAsia="仿宋_GB2312" w:hAnsi="黑体" w:cs="仿宋_GB2312" w:hint="eastAsia"/>
          <w:bCs/>
          <w:color w:val="000000"/>
          <w:sz w:val="32"/>
          <w:szCs w:val="32"/>
        </w:rPr>
        <w:t>）乘用车应符合以下标准：</w:t>
      </w:r>
    </w:p>
    <w:p w:rsidR="00853C66" w:rsidRDefault="00853C66" w:rsidP="00853C66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F13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工况</w:t>
      </w:r>
      <w:proofErr w:type="gramStart"/>
      <w:r w:rsidRPr="00AF13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纯电续</w:t>
      </w:r>
      <w:proofErr w:type="gramEnd"/>
      <w:r w:rsidRPr="00AF13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驶里程低于</w:t>
      </w:r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80km的插电式混合动力（</w:t>
      </w:r>
      <w:proofErr w:type="gramStart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含增程式</w:t>
      </w:r>
      <w:proofErr w:type="gramEnd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）乘用车B状态燃料消耗量（不含电能转化的燃料消耗量）与现行的常规燃料消耗量国家标准中对应限值相比小于</w:t>
      </w:r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lastRenderedPageBreak/>
        <w:t>70%。工况</w:t>
      </w:r>
      <w:proofErr w:type="gramStart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纯电续</w:t>
      </w:r>
      <w:proofErr w:type="gramEnd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驶里程大于等于80km的插电式混合动力（</w:t>
      </w:r>
      <w:proofErr w:type="gramStart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含增程式</w:t>
      </w:r>
      <w:proofErr w:type="gramEnd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）乘用车，按整车整备质量（m）不同，其A状态</w:t>
      </w:r>
      <w:proofErr w:type="gramStart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百公里</w:t>
      </w:r>
      <w:proofErr w:type="gramEnd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耗电量（Y）应满足以下要求：m≤1000kg时，Y≤0.014×m+0.5；1000kg&lt;m≤1600kg时，Y≤0.012×m+2.5；m&gt;1600kg时，Y≤0.005×m+13.7。</w:t>
      </w:r>
    </w:p>
    <w:p w:rsidR="00853C66" w:rsidRPr="00AF137E" w:rsidRDefault="00853C66" w:rsidP="00853C66">
      <w:pPr>
        <w:ind w:firstLineChars="200" w:firstLine="640"/>
        <w:rPr>
          <w:rFonts w:ascii="黑体" w:eastAsia="黑体" w:hAnsi="黑体" w:cs="仿宋_GB2312"/>
          <w:bCs/>
          <w:color w:val="000000"/>
          <w:sz w:val="32"/>
          <w:szCs w:val="32"/>
        </w:rPr>
      </w:pPr>
      <w:r w:rsidRPr="00AF137E">
        <w:rPr>
          <w:rFonts w:ascii="黑体" w:eastAsia="黑体" w:hAnsi="黑体" w:cs="仿宋_GB2312" w:hint="eastAsia"/>
          <w:bCs/>
          <w:color w:val="000000"/>
          <w:sz w:val="32"/>
          <w:szCs w:val="32"/>
        </w:rPr>
        <w:t>三、新能源客车技术标准</w:t>
      </w:r>
    </w:p>
    <w:p w:rsidR="00853C66" w:rsidRPr="00AF137E" w:rsidRDefault="00853C66" w:rsidP="00853C66">
      <w:pPr>
        <w:ind w:firstLineChars="200" w:firstLine="640"/>
        <w:rPr>
          <w:rFonts w:ascii="黑体" w:eastAsia="黑体" w:hAnsi="黑体" w:cs="仿宋_GB2312"/>
          <w:bCs/>
          <w:color w:val="000000"/>
          <w:sz w:val="32"/>
          <w:szCs w:val="32"/>
        </w:rPr>
      </w:pPr>
      <w:r w:rsidRPr="00AF137E">
        <w:rPr>
          <w:rFonts w:ascii="仿宋_GB2312" w:eastAsia="仿宋_GB2312" w:hint="eastAsia"/>
          <w:color w:val="000000"/>
          <w:sz w:val="32"/>
          <w:szCs w:val="32"/>
        </w:rPr>
        <w:t>免征车船税的新能源客车应</w:t>
      </w:r>
      <w:r w:rsidRPr="00AF137E">
        <w:rPr>
          <w:rFonts w:ascii="仿宋_GB2312" w:eastAsia="仿宋_GB2312" w:hAnsi="黑体" w:cs="仿宋_GB2312" w:hint="eastAsia"/>
          <w:bCs/>
          <w:color w:val="000000"/>
          <w:sz w:val="32"/>
          <w:szCs w:val="32"/>
        </w:rPr>
        <w:t>同时符合以下标准：</w:t>
      </w:r>
    </w:p>
    <w:p w:rsidR="00853C66" w:rsidRPr="00AF137E" w:rsidRDefault="00853C66" w:rsidP="00853C66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1.单位</w:t>
      </w:r>
      <w:proofErr w:type="gramStart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载质量</w:t>
      </w:r>
      <w:proofErr w:type="gramEnd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能量消耗量（</w:t>
      </w:r>
      <w:proofErr w:type="spellStart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E</w:t>
      </w:r>
      <w:r w:rsidRPr="00AF137E">
        <w:rPr>
          <w:rFonts w:ascii="仿宋_GB2312" w:eastAsia="仿宋_GB2312" w:hAnsi="仿宋_GB2312" w:cs="仿宋_GB2312"/>
          <w:color w:val="000000"/>
          <w:sz w:val="32"/>
          <w:szCs w:val="32"/>
          <w:vertAlign w:val="subscript"/>
        </w:rPr>
        <w:t>kg</w:t>
      </w:r>
      <w:proofErr w:type="spellEnd"/>
      <w:r w:rsidRPr="00AF13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）不高于</w:t>
      </w:r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0.24Wh/</w:t>
      </w:r>
      <w:proofErr w:type="spellStart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km·kg</w:t>
      </w:r>
      <w:proofErr w:type="spellEnd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；</w:t>
      </w:r>
    </w:p>
    <w:p w:rsidR="00853C66" w:rsidRPr="00AF137E" w:rsidRDefault="00853C66" w:rsidP="00853C66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2.非快</w:t>
      </w:r>
      <w:proofErr w:type="gramStart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充类纯</w:t>
      </w:r>
      <w:proofErr w:type="gramEnd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电动客车电池系统质量能量密度要高于95Wh/kg，快</w:t>
      </w:r>
      <w:proofErr w:type="gramStart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充类纯</w:t>
      </w:r>
      <w:proofErr w:type="gramEnd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电动客车快充倍率要高于3C，插电式混合动力（</w:t>
      </w:r>
      <w:proofErr w:type="gramStart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含增程式</w:t>
      </w:r>
      <w:proofErr w:type="gramEnd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）客车节油率大于40%。</w:t>
      </w:r>
    </w:p>
    <w:p w:rsidR="00853C66" w:rsidRPr="00AF137E" w:rsidRDefault="00853C66" w:rsidP="00853C66">
      <w:pPr>
        <w:ind w:firstLineChars="200" w:firstLine="640"/>
        <w:rPr>
          <w:rFonts w:ascii="黑体" w:eastAsia="黑体" w:hAnsi="黑体" w:cs="仿宋_GB2312"/>
          <w:bCs/>
          <w:color w:val="000000"/>
          <w:sz w:val="32"/>
          <w:szCs w:val="32"/>
        </w:rPr>
      </w:pPr>
      <w:r w:rsidRPr="00AF137E">
        <w:rPr>
          <w:rFonts w:ascii="黑体" w:eastAsia="黑体" w:hAnsi="黑体" w:cs="仿宋_GB2312" w:hint="eastAsia"/>
          <w:bCs/>
          <w:color w:val="000000"/>
          <w:sz w:val="32"/>
          <w:szCs w:val="32"/>
        </w:rPr>
        <w:t>四、新能源货车和专用车技术标准</w:t>
      </w:r>
    </w:p>
    <w:p w:rsidR="00853C66" w:rsidRPr="00AF137E" w:rsidRDefault="00853C66" w:rsidP="00853C66">
      <w:pPr>
        <w:ind w:firstLineChars="200" w:firstLine="640"/>
        <w:rPr>
          <w:rFonts w:ascii="黑体" w:eastAsia="黑体" w:hAnsi="黑体" w:cs="仿宋_GB2312"/>
          <w:bCs/>
          <w:color w:val="000000"/>
          <w:sz w:val="32"/>
          <w:szCs w:val="32"/>
        </w:rPr>
      </w:pPr>
      <w:r w:rsidRPr="00AF137E">
        <w:rPr>
          <w:rFonts w:ascii="仿宋_GB2312" w:eastAsia="仿宋_GB2312" w:hint="eastAsia"/>
          <w:color w:val="000000"/>
          <w:sz w:val="32"/>
          <w:szCs w:val="32"/>
        </w:rPr>
        <w:t>免征车船税的新能源货车和专用车应</w:t>
      </w:r>
      <w:r w:rsidRPr="00AF137E">
        <w:rPr>
          <w:rFonts w:ascii="仿宋_GB2312" w:eastAsia="仿宋_GB2312" w:hAnsi="黑体" w:cs="仿宋_GB2312" w:hint="eastAsia"/>
          <w:bCs/>
          <w:color w:val="000000"/>
          <w:sz w:val="32"/>
          <w:szCs w:val="32"/>
        </w:rPr>
        <w:t>同时符合以下标准：</w:t>
      </w:r>
    </w:p>
    <w:p w:rsidR="00853C66" w:rsidRPr="00AF137E" w:rsidRDefault="00853C66" w:rsidP="00853C66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1.装载动力电池系统质量能量密度不低于95Wh/kg；</w:t>
      </w:r>
    </w:p>
    <w:p w:rsidR="00853C66" w:rsidRPr="00AF137E" w:rsidRDefault="00853C66" w:rsidP="00853C66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2.纯电动货车、运输类专用车单位</w:t>
      </w:r>
      <w:proofErr w:type="gramStart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载质量</w:t>
      </w:r>
      <w:proofErr w:type="gramEnd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能量消耗量（</w:t>
      </w:r>
      <w:proofErr w:type="spellStart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E</w:t>
      </w:r>
      <w:r w:rsidRPr="00AF137E">
        <w:rPr>
          <w:rFonts w:ascii="仿宋_GB2312" w:eastAsia="仿宋_GB2312" w:hAnsi="仿宋_GB2312" w:cs="仿宋_GB2312"/>
          <w:color w:val="000000"/>
          <w:sz w:val="32"/>
          <w:szCs w:val="32"/>
          <w:vertAlign w:val="subscript"/>
        </w:rPr>
        <w:t>kg</w:t>
      </w:r>
      <w:proofErr w:type="spellEnd"/>
      <w:r w:rsidRPr="00AF13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）不高于</w:t>
      </w:r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0.49Wh/</w:t>
      </w:r>
      <w:proofErr w:type="spellStart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km·kg</w:t>
      </w:r>
      <w:proofErr w:type="spellEnd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，</w:t>
      </w:r>
      <w:proofErr w:type="gramStart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其他类纯电动</w:t>
      </w:r>
      <w:proofErr w:type="gramEnd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专用车吨</w:t>
      </w:r>
      <w:proofErr w:type="gramStart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百公里</w:t>
      </w:r>
      <w:proofErr w:type="gramEnd"/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电耗（按试验质量）不超过10kWh。</w:t>
      </w:r>
    </w:p>
    <w:p w:rsidR="00853C66" w:rsidRPr="00AF137E" w:rsidRDefault="00853C66" w:rsidP="00853C66">
      <w:pPr>
        <w:ind w:firstLineChars="200" w:firstLine="640"/>
        <w:rPr>
          <w:rFonts w:ascii="黑体" w:eastAsia="黑体" w:hAnsi="黑体" w:cs="仿宋_GB2312"/>
          <w:bCs/>
          <w:color w:val="000000"/>
          <w:sz w:val="32"/>
          <w:szCs w:val="32"/>
        </w:rPr>
      </w:pPr>
      <w:r w:rsidRPr="00AF137E">
        <w:rPr>
          <w:rFonts w:ascii="黑体" w:eastAsia="黑体" w:hAnsi="黑体" w:cs="仿宋_GB2312" w:hint="eastAsia"/>
          <w:bCs/>
          <w:color w:val="000000"/>
          <w:sz w:val="32"/>
          <w:szCs w:val="32"/>
        </w:rPr>
        <w:t>五、燃料电池商用车技术标准</w:t>
      </w:r>
    </w:p>
    <w:p w:rsidR="00853C66" w:rsidRPr="00AF137E" w:rsidRDefault="00853C66" w:rsidP="00853C66">
      <w:pPr>
        <w:ind w:firstLineChars="200" w:firstLine="640"/>
        <w:rPr>
          <w:rFonts w:ascii="黑体" w:eastAsia="黑体" w:hAnsi="黑体" w:cs="仿宋_GB2312"/>
          <w:bCs/>
          <w:color w:val="000000"/>
          <w:sz w:val="32"/>
          <w:szCs w:val="32"/>
        </w:rPr>
      </w:pPr>
      <w:r w:rsidRPr="00AF137E">
        <w:rPr>
          <w:rFonts w:ascii="仿宋_GB2312" w:eastAsia="仿宋_GB2312" w:hint="eastAsia"/>
          <w:color w:val="000000"/>
          <w:sz w:val="32"/>
          <w:szCs w:val="32"/>
        </w:rPr>
        <w:t>免征车船税的燃料电池汽车应符合以下标准：</w:t>
      </w:r>
    </w:p>
    <w:p w:rsidR="00E57F60" w:rsidRDefault="00853C66" w:rsidP="00F97C67">
      <w:pPr>
        <w:ind w:firstLineChars="200" w:firstLine="640"/>
      </w:pPr>
      <w:r w:rsidRPr="00AF13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燃料电池系统的额定功率不低于驱动电机额定功率的</w:t>
      </w:r>
      <w:r w:rsidRPr="00AF137E">
        <w:rPr>
          <w:rFonts w:ascii="仿宋_GB2312" w:eastAsia="仿宋_GB2312" w:hAnsi="仿宋_GB2312" w:cs="仿宋_GB2312"/>
          <w:color w:val="000000"/>
          <w:sz w:val="32"/>
          <w:szCs w:val="32"/>
        </w:rPr>
        <w:t>30%，且商用车燃料电池系统额定功率不小于30kW。</w:t>
      </w:r>
    </w:p>
    <w:sectPr w:rsidR="00E57F60" w:rsidSect="00214C1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EF" w:rsidRDefault="005319EF" w:rsidP="00853C66">
      <w:r>
        <w:separator/>
      </w:r>
    </w:p>
  </w:endnote>
  <w:endnote w:type="continuationSeparator" w:id="0">
    <w:p w:rsidR="005319EF" w:rsidRDefault="005319EF" w:rsidP="00853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338"/>
      <w:docPartObj>
        <w:docPartGallery w:val="Page Numbers (Bottom of Page)"/>
        <w:docPartUnique/>
      </w:docPartObj>
    </w:sdtPr>
    <w:sdtContent>
      <w:p w:rsidR="00E3672C" w:rsidRDefault="00E3672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E3672C">
          <w:rPr>
            <w:noProof/>
            <w:lang w:val="zh-CN"/>
          </w:rPr>
          <w:t>2</w:t>
        </w:r>
        <w:r>
          <w:fldChar w:fldCharType="end"/>
        </w:r>
      </w:p>
    </w:sdtContent>
  </w:sdt>
  <w:p w:rsidR="00E3672C" w:rsidRDefault="00E367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EF" w:rsidRDefault="005319EF" w:rsidP="00853C66">
      <w:r>
        <w:separator/>
      </w:r>
    </w:p>
  </w:footnote>
  <w:footnote w:type="continuationSeparator" w:id="0">
    <w:p w:rsidR="005319EF" w:rsidRDefault="005319EF" w:rsidP="00853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C66"/>
    <w:rsid w:val="001564FC"/>
    <w:rsid w:val="00176517"/>
    <w:rsid w:val="00214C19"/>
    <w:rsid w:val="00245A45"/>
    <w:rsid w:val="005319EF"/>
    <w:rsid w:val="005E117A"/>
    <w:rsid w:val="006637AF"/>
    <w:rsid w:val="007A540B"/>
    <w:rsid w:val="00853C66"/>
    <w:rsid w:val="009A11AD"/>
    <w:rsid w:val="00A651FC"/>
    <w:rsid w:val="00BF1A1A"/>
    <w:rsid w:val="00E3672C"/>
    <w:rsid w:val="00E43BB2"/>
    <w:rsid w:val="00E57F60"/>
    <w:rsid w:val="00F9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C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C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3C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7C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7C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胥媛</dc:creator>
  <cp:keywords/>
  <dc:description/>
  <cp:lastModifiedBy>xuyuan</cp:lastModifiedBy>
  <cp:revision>9</cp:revision>
  <dcterms:created xsi:type="dcterms:W3CDTF">2018-06-14T08:31:00Z</dcterms:created>
  <dcterms:modified xsi:type="dcterms:W3CDTF">2018-07-27T00:59:00Z</dcterms:modified>
</cp:coreProperties>
</file>