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宋体" w:eastAsia="宋体" w:hAnsi="宋体" w:cs="宋体" w:hint="eastAsia"/>
          <w:color w:val="333333"/>
          <w:kern w:val="0"/>
          <w:sz w:val="32"/>
          <w:szCs w:val="32"/>
        </w:rPr>
        <w:t>附件：</w:t>
      </w:r>
    </w:p>
    <w:p w:rsidR="005217C1" w:rsidRPr="005217C1" w:rsidRDefault="005217C1" w:rsidP="005217C1">
      <w:pPr>
        <w:widowControl/>
        <w:spacing w:before="100" w:beforeAutospacing="1" w:after="100" w:afterAutospacing="1"/>
        <w:jc w:val="center"/>
        <w:rPr>
          <w:rFonts w:ascii="宋体" w:eastAsia="宋体" w:hAnsi="宋体" w:cs="宋体"/>
          <w:color w:val="333333"/>
          <w:kern w:val="0"/>
          <w:sz w:val="24"/>
          <w:szCs w:val="24"/>
        </w:rPr>
      </w:pPr>
      <w:r w:rsidRPr="005217C1">
        <w:rPr>
          <w:rFonts w:ascii="宋体" w:eastAsia="宋体" w:hAnsi="宋体" w:cs="宋体" w:hint="eastAsia"/>
          <w:b/>
          <w:bCs/>
          <w:color w:val="333333"/>
          <w:kern w:val="0"/>
          <w:sz w:val="32"/>
        </w:rPr>
        <w:t>技术先进型服务业务领域范围（服务贸易类）</w:t>
      </w:r>
    </w:p>
    <w:tbl>
      <w:tblPr>
        <w:tblW w:w="9900" w:type="dxa"/>
        <w:jc w:val="center"/>
        <w:tblInd w:w="-28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778"/>
        <w:gridCol w:w="6122"/>
      </w:tblGrid>
      <w:tr w:rsidR="005217C1" w:rsidRPr="005217C1" w:rsidTr="005217C1">
        <w:trPr>
          <w:jc w:val="center"/>
        </w:trPr>
        <w:tc>
          <w:tcPr>
            <w:tcW w:w="3778"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tabs>
                <w:tab w:val="left" w:pos="4500"/>
              </w:tabs>
              <w:spacing w:before="100" w:beforeAutospacing="1" w:after="100" w:afterAutospacing="1"/>
              <w:jc w:val="center"/>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类　别</w:t>
            </w:r>
          </w:p>
        </w:tc>
        <w:tc>
          <w:tcPr>
            <w:tcW w:w="6123"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tabs>
                <w:tab w:val="left" w:pos="4500"/>
              </w:tabs>
              <w:spacing w:before="100" w:beforeAutospacing="1" w:after="100" w:afterAutospacing="1"/>
              <w:jc w:val="center"/>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适用范围</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tabs>
                <w:tab w:val="left" w:pos="4500"/>
              </w:tabs>
              <w:spacing w:before="100" w:beforeAutospacing="1" w:after="100" w:afterAutospacing="1"/>
              <w:jc w:val="center"/>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一、计算机和信息服务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tabs>
                <w:tab w:val="left" w:pos="4500"/>
              </w:tabs>
              <w:spacing w:before="100" w:beforeAutospacing="1" w:after="100" w:afterAutospacing="1"/>
              <w:jc w:val="center"/>
              <w:rPr>
                <w:rFonts w:ascii="宋体" w:eastAsia="宋体" w:hAnsi="宋体" w:cs="宋体"/>
                <w:color w:val="333333"/>
                <w:kern w:val="0"/>
                <w:sz w:val="24"/>
                <w:szCs w:val="24"/>
              </w:rPr>
            </w:pPr>
            <w:r w:rsidRPr="005217C1">
              <w:rPr>
                <w:rFonts w:ascii="宋体" w:eastAsia="宋体" w:hAnsi="宋体" w:cs="宋体"/>
                <w:b/>
                <w:bCs/>
                <w:color w:val="333333"/>
                <w:kern w:val="0"/>
                <w:sz w:val="30"/>
              </w:rPr>
              <w:t> </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1.信息系统集成服务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系统集成咨询服务；系统集成工程服务；提供硬件设备现场组装、软件安装与调试及相关运营维护支撑服务；系统运营维护服务，包括系统运行检测监控、故障定位与排除、性能管理、优化升级等。</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2.数据服务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数据存储管理服务，提供数据规划、评估、审计、咨询、清洗、整理、应用服务，数据增值服务，提供其他未分类数据处理服务。</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二、研究开发和技术服务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 </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3.研究和实验开发服务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物理学、化学、生物学、基因学、工程学、医学、农业科学、环境科学、人类地理科学、经济学和人文科学等领域的研究和实验开发服务。</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4.工业设计服务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对产品的材料、结构、机理、形状、颜色和表面处理的设计与选择；对产品进行的综合设计服务，即产品外观的设计、机械结构和电路设计等服务。</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lastRenderedPageBreak/>
              <w:t>5.</w:t>
            </w:r>
            <w:r w:rsidRPr="005217C1">
              <w:rPr>
                <w:rFonts w:ascii="仿宋_GB2312" w:eastAsia="仿宋_GB2312" w:hAnsi="宋体" w:cs="宋体" w:hint="eastAsia"/>
                <w:b/>
                <w:bCs/>
                <w:color w:val="333333"/>
                <w:kern w:val="0"/>
                <w:sz w:val="32"/>
              </w:rPr>
              <w:t>知识产权跨境许可与转让</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spacing w:val="-4"/>
                <w:kern w:val="0"/>
                <w:sz w:val="30"/>
                <w:szCs w:val="30"/>
              </w:rPr>
              <w:t>以专利、版权、商标等为载体的技术贸易。知识产权跨境许可是指授权境外机构有偿使用专利、版权和商标等；知识产权跨境转让是指将专利、版权和商标等知识产权售卖给境外机构。</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三、文化技术服务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宋体" w:eastAsia="宋体" w:hAnsi="宋体" w:cs="宋体"/>
                <w:color w:val="333333"/>
                <w:kern w:val="0"/>
                <w:sz w:val="30"/>
                <w:szCs w:val="30"/>
              </w:rPr>
              <w:t> </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6.文化产品数字制作</w:t>
            </w:r>
          </w:p>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 </w:t>
            </w:r>
            <w:r w:rsidRPr="005217C1">
              <w:rPr>
                <w:rFonts w:ascii="仿宋_GB2312" w:eastAsia="仿宋_GB2312" w:hAnsi="宋体" w:cs="宋体" w:hint="eastAsia"/>
                <w:b/>
                <w:bCs/>
                <w:color w:val="333333"/>
                <w:kern w:val="0"/>
                <w:sz w:val="30"/>
              </w:rPr>
              <w:t xml:space="preserve"> 及相关服务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7.文化产品的对外翻译、</w:t>
            </w:r>
          </w:p>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0"/>
              </w:rPr>
              <w:t> </w:t>
            </w:r>
            <w:r w:rsidRPr="005217C1">
              <w:rPr>
                <w:rFonts w:ascii="仿宋_GB2312" w:eastAsia="仿宋_GB2312" w:hAnsi="宋体" w:cs="宋体" w:hint="eastAsia"/>
                <w:b/>
                <w:bCs/>
                <w:color w:val="333333"/>
                <w:kern w:val="0"/>
                <w:sz w:val="30"/>
              </w:rPr>
              <w:t xml:space="preserve"> 配音及制作服务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spacing w:val="-4"/>
                <w:kern w:val="0"/>
                <w:sz w:val="30"/>
                <w:szCs w:val="30"/>
              </w:rPr>
              <w:t>将本国文化产品翻译或配音成其他国家语言，将其他国家文化产品翻译或配音成本国语言以及与其相关的制作服务。</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四、中医药医疗服务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宋体" w:eastAsia="宋体" w:hAnsi="宋体" w:cs="宋体"/>
                <w:color w:val="333333"/>
                <w:kern w:val="0"/>
                <w:sz w:val="30"/>
                <w:szCs w:val="30"/>
              </w:rPr>
              <w:t> </w:t>
            </w:r>
          </w:p>
        </w:tc>
      </w:tr>
      <w:tr w:rsidR="005217C1" w:rsidRPr="005217C1" w:rsidTr="005217C1">
        <w:trPr>
          <w:jc w:val="center"/>
        </w:trPr>
        <w:tc>
          <w:tcPr>
            <w:tcW w:w="3778"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8.中医药医疗保健及</w:t>
            </w:r>
          </w:p>
          <w:p w:rsidR="005217C1" w:rsidRPr="005217C1" w:rsidRDefault="005217C1" w:rsidP="005217C1">
            <w:pPr>
              <w:widowControl/>
              <w:spacing w:before="100" w:beforeAutospacing="1" w:after="100" w:afterAutospacing="1"/>
              <w:jc w:val="left"/>
              <w:rPr>
                <w:rFonts w:ascii="宋体" w:eastAsia="宋体" w:hAnsi="宋体" w:cs="宋体"/>
                <w:color w:val="333333"/>
                <w:kern w:val="0"/>
                <w:sz w:val="24"/>
                <w:szCs w:val="24"/>
              </w:rPr>
            </w:pPr>
            <w:r w:rsidRPr="005217C1">
              <w:rPr>
                <w:rFonts w:ascii="仿宋_GB2312" w:eastAsia="仿宋_GB2312" w:hAnsi="宋体" w:cs="宋体" w:hint="eastAsia"/>
                <w:b/>
                <w:bCs/>
                <w:color w:val="333333"/>
                <w:kern w:val="0"/>
                <w:sz w:val="32"/>
              </w:rPr>
              <w:t> </w:t>
            </w:r>
            <w:r w:rsidRPr="005217C1">
              <w:rPr>
                <w:rFonts w:ascii="仿宋_GB2312" w:eastAsia="仿宋_GB2312" w:hAnsi="宋体" w:cs="宋体" w:hint="eastAsia"/>
                <w:b/>
                <w:bCs/>
                <w:color w:val="333333"/>
                <w:kern w:val="0"/>
                <w:sz w:val="32"/>
              </w:rPr>
              <w:t xml:space="preserve"> 相关服务</w:t>
            </w:r>
          </w:p>
        </w:tc>
        <w:tc>
          <w:tcPr>
            <w:tcW w:w="612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5217C1" w:rsidRPr="005217C1" w:rsidRDefault="005217C1" w:rsidP="005217C1">
            <w:pPr>
              <w:widowControl/>
              <w:spacing w:before="100" w:beforeAutospacing="1" w:after="100" w:afterAutospacing="1" w:line="360" w:lineRule="auto"/>
              <w:jc w:val="left"/>
              <w:rPr>
                <w:rFonts w:ascii="宋体" w:eastAsia="宋体" w:hAnsi="宋体" w:cs="宋体"/>
                <w:color w:val="333333"/>
                <w:kern w:val="0"/>
                <w:sz w:val="24"/>
                <w:szCs w:val="24"/>
              </w:rPr>
            </w:pPr>
            <w:r w:rsidRPr="005217C1">
              <w:rPr>
                <w:rFonts w:ascii="仿宋_GB2312" w:eastAsia="仿宋_GB2312" w:hAnsi="宋体" w:cs="宋体" w:hint="eastAsia"/>
                <w:color w:val="333333"/>
                <w:kern w:val="0"/>
                <w:sz w:val="30"/>
                <w:szCs w:val="30"/>
              </w:rPr>
              <w:t>与中医药相关的远程医疗保健、教育培训、文化交流等服务。</w:t>
            </w:r>
          </w:p>
        </w:tc>
      </w:tr>
    </w:tbl>
    <w:p w:rsidR="00CE239F" w:rsidRPr="005217C1" w:rsidRDefault="00CE239F" w:rsidP="005217C1">
      <w:pPr>
        <w:widowControl/>
        <w:tabs>
          <w:tab w:val="left" w:pos="4500"/>
        </w:tabs>
        <w:spacing w:before="100" w:beforeAutospacing="1" w:after="100" w:afterAutospacing="1" w:line="588" w:lineRule="atLeast"/>
        <w:ind w:right="210"/>
        <w:jc w:val="left"/>
        <w:rPr>
          <w:rFonts w:ascii="宋体" w:eastAsia="宋体" w:hAnsi="宋体" w:cs="宋体"/>
          <w:color w:val="333333"/>
          <w:kern w:val="0"/>
          <w:sz w:val="24"/>
          <w:szCs w:val="24"/>
        </w:rPr>
      </w:pPr>
    </w:p>
    <w:sectPr w:rsidR="00CE239F" w:rsidRPr="005217C1" w:rsidSect="005217C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39F" w:rsidRDefault="00CE239F" w:rsidP="005217C1">
      <w:r>
        <w:separator/>
      </w:r>
    </w:p>
  </w:endnote>
  <w:endnote w:type="continuationSeparator" w:id="1">
    <w:p w:rsidR="00CE239F" w:rsidRDefault="00CE239F" w:rsidP="00521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39F" w:rsidRDefault="00CE239F" w:rsidP="005217C1">
      <w:r>
        <w:separator/>
      </w:r>
    </w:p>
  </w:footnote>
  <w:footnote w:type="continuationSeparator" w:id="1">
    <w:p w:rsidR="00CE239F" w:rsidRDefault="00CE239F" w:rsidP="00521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7C1"/>
    <w:rsid w:val="005217C1"/>
    <w:rsid w:val="00CE2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7C1"/>
    <w:rPr>
      <w:sz w:val="18"/>
      <w:szCs w:val="18"/>
    </w:rPr>
  </w:style>
  <w:style w:type="paragraph" w:styleId="a4">
    <w:name w:val="footer"/>
    <w:basedOn w:val="a"/>
    <w:link w:val="Char0"/>
    <w:uiPriority w:val="99"/>
    <w:semiHidden/>
    <w:unhideWhenUsed/>
    <w:rsid w:val="005217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7C1"/>
    <w:rPr>
      <w:sz w:val="18"/>
      <w:szCs w:val="18"/>
    </w:rPr>
  </w:style>
  <w:style w:type="character" w:styleId="a5">
    <w:name w:val="Strong"/>
    <w:basedOn w:val="a0"/>
    <w:uiPriority w:val="22"/>
    <w:qFormat/>
    <w:rsid w:val="005217C1"/>
    <w:rPr>
      <w:b/>
      <w:bCs/>
    </w:rPr>
  </w:style>
</w:styles>
</file>

<file path=word/webSettings.xml><?xml version="1.0" encoding="utf-8"?>
<w:webSettings xmlns:r="http://schemas.openxmlformats.org/officeDocument/2006/relationships" xmlns:w="http://schemas.openxmlformats.org/wordprocessingml/2006/main">
  <w:divs>
    <w:div w:id="1953131163">
      <w:bodyDiv w:val="1"/>
      <w:marLeft w:val="0"/>
      <w:marRight w:val="0"/>
      <w:marTop w:val="0"/>
      <w:marBottom w:val="0"/>
      <w:divBdr>
        <w:top w:val="none" w:sz="0" w:space="0" w:color="auto"/>
        <w:left w:val="none" w:sz="0" w:space="0" w:color="auto"/>
        <w:bottom w:val="none" w:sz="0" w:space="0" w:color="auto"/>
        <w:right w:val="none" w:sz="0" w:space="0" w:color="auto"/>
      </w:divBdr>
      <w:divsChild>
        <w:div w:id="131480420">
          <w:marLeft w:val="0"/>
          <w:marRight w:val="0"/>
          <w:marTop w:val="0"/>
          <w:marBottom w:val="0"/>
          <w:divBdr>
            <w:top w:val="none" w:sz="0" w:space="0" w:color="auto"/>
            <w:left w:val="none" w:sz="0" w:space="0" w:color="auto"/>
            <w:bottom w:val="none" w:sz="0" w:space="0" w:color="auto"/>
            <w:right w:val="none" w:sz="0" w:space="0" w:color="auto"/>
          </w:divBdr>
          <w:divsChild>
            <w:div w:id="173540613">
              <w:marLeft w:val="0"/>
              <w:marRight w:val="0"/>
              <w:marTop w:val="0"/>
              <w:marBottom w:val="0"/>
              <w:divBdr>
                <w:top w:val="none" w:sz="0" w:space="0" w:color="auto"/>
                <w:left w:val="none" w:sz="0" w:space="0" w:color="auto"/>
                <w:bottom w:val="none" w:sz="0" w:space="0" w:color="auto"/>
                <w:right w:val="none" w:sz="0" w:space="0" w:color="auto"/>
              </w:divBdr>
              <w:divsChild>
                <w:div w:id="1166749886">
                  <w:marLeft w:val="0"/>
                  <w:marRight w:val="0"/>
                  <w:marTop w:val="0"/>
                  <w:marBottom w:val="105"/>
                  <w:divBdr>
                    <w:top w:val="none" w:sz="0" w:space="0" w:color="auto"/>
                    <w:left w:val="none" w:sz="0" w:space="0" w:color="auto"/>
                    <w:bottom w:val="none" w:sz="0" w:space="0" w:color="auto"/>
                    <w:right w:val="none" w:sz="0" w:space="0" w:color="auto"/>
                  </w:divBdr>
                  <w:divsChild>
                    <w:div w:id="523250065">
                      <w:marLeft w:val="0"/>
                      <w:marRight w:val="0"/>
                      <w:marTop w:val="0"/>
                      <w:marBottom w:val="0"/>
                      <w:divBdr>
                        <w:top w:val="none" w:sz="0" w:space="0" w:color="auto"/>
                        <w:left w:val="none" w:sz="0" w:space="0" w:color="auto"/>
                        <w:bottom w:val="none" w:sz="0" w:space="0" w:color="auto"/>
                        <w:right w:val="none" w:sz="0" w:space="0" w:color="auto"/>
                      </w:divBdr>
                      <w:divsChild>
                        <w:div w:id="1238713947">
                          <w:marLeft w:val="0"/>
                          <w:marRight w:val="0"/>
                          <w:marTop w:val="0"/>
                          <w:marBottom w:val="0"/>
                          <w:divBdr>
                            <w:top w:val="none" w:sz="0" w:space="0" w:color="auto"/>
                            <w:left w:val="none" w:sz="0" w:space="0" w:color="auto"/>
                            <w:bottom w:val="none" w:sz="0" w:space="0" w:color="auto"/>
                            <w:right w:val="none" w:sz="0" w:space="0" w:color="auto"/>
                          </w:divBdr>
                          <w:divsChild>
                            <w:div w:id="1322849557">
                              <w:marLeft w:val="0"/>
                              <w:marRight w:val="0"/>
                              <w:marTop w:val="0"/>
                              <w:marBottom w:val="0"/>
                              <w:divBdr>
                                <w:top w:val="none" w:sz="0" w:space="0" w:color="auto"/>
                                <w:left w:val="none" w:sz="0" w:space="0" w:color="auto"/>
                                <w:bottom w:val="none" w:sz="0" w:space="0" w:color="auto"/>
                                <w:right w:val="none" w:sz="0" w:space="0" w:color="auto"/>
                              </w:divBdr>
                              <w:divsChild>
                                <w:div w:id="553737031">
                                  <w:marLeft w:val="0"/>
                                  <w:marRight w:val="0"/>
                                  <w:marTop w:val="300"/>
                                  <w:marBottom w:val="300"/>
                                  <w:divBdr>
                                    <w:top w:val="none" w:sz="0" w:space="0" w:color="auto"/>
                                    <w:left w:val="none" w:sz="0" w:space="0" w:color="auto"/>
                                    <w:bottom w:val="none" w:sz="0" w:space="0" w:color="auto"/>
                                    <w:right w:val="none" w:sz="0" w:space="0" w:color="auto"/>
                                  </w:divBdr>
                                  <w:divsChild>
                                    <w:div w:id="16912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2016-12-07T02:23:00Z</dcterms:created>
  <dcterms:modified xsi:type="dcterms:W3CDTF">2016-12-07T02:23:00Z</dcterms:modified>
</cp:coreProperties>
</file>