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附件1：</w:t>
      </w:r>
    </w:p>
    <w:p>
      <w:pPr>
        <w:ind w:firstLine="640"/>
        <w:jc w:val="center"/>
        <w:outlineLvl w:val="0"/>
        <w:rPr>
          <w:rFonts w:hint="eastAsia" w:ascii="宋体"/>
          <w:sz w:val="36"/>
        </w:rPr>
      </w:pPr>
      <w:bookmarkStart w:id="0" w:name="_GoBack"/>
      <w:r>
        <w:rPr>
          <w:rFonts w:hint="eastAsia" w:ascii="宋体"/>
          <w:sz w:val="36"/>
        </w:rPr>
        <w:t>全省普通发票印制审批权限和范围划分</w:t>
      </w:r>
      <w:bookmarkEnd w:id="0"/>
    </w:p>
    <w:p>
      <w:pPr>
        <w:pStyle w:val="2"/>
        <w:ind w:firstLine="640"/>
        <w:rPr>
          <w:rFonts w:hint="eastAsia" w:ascii="宋体" w:eastAsia="宋体"/>
          <w:sz w:val="32"/>
        </w:rPr>
      </w:pPr>
    </w:p>
    <w:p>
      <w:pPr>
        <w:pStyle w:val="2"/>
        <w:ind w:firstLine="640"/>
        <w:rPr>
          <w:rFonts w:hint="eastAsia"/>
          <w:sz w:val="32"/>
        </w:rPr>
      </w:pPr>
      <w:r>
        <w:rPr>
          <w:rFonts w:hint="eastAsia"/>
          <w:sz w:val="32"/>
        </w:rPr>
        <w:t>全省普通发票如无特殊说明，均包括各个金额版、手工填开式发票和电脑填开式发票。印制审批权限和范围划分如下：</w:t>
      </w:r>
    </w:p>
    <w:p>
      <w:pPr>
        <w:ind w:firstLine="832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由省税务局负责批准印制的发票有：（一）各市使用干式复写纸印制的普通商业发票；（二）各市企业自印衔头发票（无碳电脑票）；（三）全省统一发票类，包括：1、河南省收购发票，2、河南省机动车维修发票，3、河南省机动车配件销售发票，4、河南省机动车销售发票，5、河南省粮食收购发票，6、河南省棉花收购发票（含Ⅰ#和Ⅱ#），7、河南省烟叶收购发票，8、河南省电费统一发票，9、河南省居民电费统一发票，10、河南省废旧物资销售统一发票，11、河南省粮食销售统一发票，12、河南省燃气收费专用发票，13、河南省自来水收费专用发票，14、河南省水利工程供水统一发票共十四种。（四）凡使用干式复写纸、无碳压感纸或防伪要求较高纸张印刷的普通发票，根据有关要求，必须报省局审批印制。</w:t>
      </w:r>
    </w:p>
    <w:p>
      <w:pPr>
        <w:ind w:firstLine="832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由各市税务局负责批准印制的发票有：（一）各市普通商业发票；（二）各市普通工业发票；（三）各市普通商业定额发票（各种面额种类）；（四）各市普通商业剪贴式发票（在部分商业零售行业中推行）；（五）各市卷筒式发票（结合税控收款机推行的卷筒式发票）；（四）各市企业自印衔头发票（普通手工票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633B5"/>
    <w:rsid w:val="48F633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0" w:firstLineChars="200"/>
      <w:outlineLvl w:val="0"/>
    </w:pPr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2019-03-25T08:35:00Z</dcterms:created>
  <dc:creator>李郑伦</dc:creator>
  <cp:lastModifiedBy>李郑伦</cp:lastModifiedBy>
  <dcterms:modified xsi:type="dcterms:W3CDTF">2019-03-25T08:36:34Z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