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5" w:after="45" w:line="560" w:lineRule="atLeast"/>
        <w:rPr>
          <w:rFonts w:hint="eastAsia"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0"/>
          <w:szCs w:val="30"/>
        </w:rPr>
        <w:t>附件2：</w:t>
      </w:r>
    </w:p>
    <w:p>
      <w:pPr>
        <w:widowControl/>
        <w:spacing w:before="45" w:after="45" w:line="560" w:lineRule="atLeast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0"/>
          <w:szCs w:val="30"/>
        </w:rPr>
        <w:t>“营改增”纳税人使用普通发票范围参考表</w:t>
      </w:r>
    </w:p>
    <w:tbl>
      <w:tblPr>
        <w:tblStyle w:val="2"/>
        <w:tblW w:w="828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158"/>
        <w:gridCol w:w="1437"/>
        <w:gridCol w:w="1004"/>
        <w:gridCol w:w="1293"/>
        <w:gridCol w:w="11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45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供应发票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开具方式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发票名称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规格（mm）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24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联次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铁路运输和邮政业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内蒙古自治区国家税务局通用机打发票（平推1-8）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网络发票系统、企业自用软件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 xml:space="preserve">见附件1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内蒙古自治区国家税务局通用机打发票（卷式1-6）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网络发票系统、企业自用软件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 xml:space="preserve">见附件1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内蒙古自治区国家税务局通用手工发票（佰元版、仟元版）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190×105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手填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 xml:space="preserve">见附件1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内蒙古自治区国家税务局通用定额发票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175×77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定额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见附件1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内蒙古自治区地方铁路通用机打发票（平推）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241*152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机打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见附件1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冠名发票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不定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不定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45" w:after="45" w:line="300" w:lineRule="atLeast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自定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1C29"/>
    <w:rsid w:val="7D40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2019-10-11T07:04:00Z</dcterms:created>
  <dc:creator>win7</dc:creator>
  <cp:lastModifiedBy>win7</cp:lastModifiedBy>
  <dcterms:modified xsi:type="dcterms:W3CDTF">2019-10-11T07:05:18Z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