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1CA" w:rsidRPr="00511D2A" w:rsidRDefault="00C841CA" w:rsidP="00C841CA">
      <w:pPr>
        <w:widowControl/>
        <w:shd w:val="clear" w:color="auto" w:fill="FFFFFF"/>
        <w:spacing w:line="360" w:lineRule="auto"/>
        <w:rPr>
          <w:rFonts w:ascii="黑体" w:eastAsia="黑体"/>
          <w:bCs/>
          <w:color w:val="000000" w:themeColor="text1"/>
          <w:kern w:val="36"/>
          <w:sz w:val="32"/>
          <w:szCs w:val="32"/>
        </w:rPr>
      </w:pPr>
      <w:r w:rsidRPr="00511D2A">
        <w:rPr>
          <w:rFonts w:ascii="黑体" w:eastAsia="黑体" w:hint="eastAsia"/>
          <w:bCs/>
          <w:color w:val="000000" w:themeColor="text1"/>
          <w:kern w:val="36"/>
          <w:sz w:val="32"/>
          <w:szCs w:val="32"/>
        </w:rPr>
        <w:t>附件1</w:t>
      </w:r>
    </w:p>
    <w:p w:rsidR="007D7012" w:rsidRPr="00511D2A" w:rsidRDefault="007D7012" w:rsidP="00C841CA">
      <w:pPr>
        <w:widowControl/>
        <w:shd w:val="clear" w:color="auto" w:fill="FFFFFF"/>
        <w:spacing w:line="360" w:lineRule="auto"/>
        <w:rPr>
          <w:rFonts w:ascii="黑体" w:eastAsia="黑体"/>
          <w:bCs/>
          <w:color w:val="000000" w:themeColor="text1"/>
          <w:kern w:val="36"/>
          <w:sz w:val="32"/>
          <w:szCs w:val="32"/>
        </w:rPr>
      </w:pPr>
    </w:p>
    <w:p w:rsidR="00C841CA" w:rsidRPr="00511D2A" w:rsidRDefault="007315D0" w:rsidP="007315D0">
      <w:pPr>
        <w:widowControl/>
        <w:shd w:val="clear" w:color="auto" w:fill="FFFFFF"/>
        <w:spacing w:line="360" w:lineRule="auto"/>
        <w:jc w:val="center"/>
        <w:rPr>
          <w:rFonts w:ascii="方正小标宋_GBK" w:eastAsia="方正小标宋_GBK"/>
          <w:bCs/>
          <w:color w:val="000000" w:themeColor="text1"/>
          <w:kern w:val="36"/>
          <w:sz w:val="36"/>
          <w:szCs w:val="36"/>
        </w:rPr>
      </w:pPr>
      <w:r w:rsidRPr="00511D2A">
        <w:rPr>
          <w:rFonts w:ascii="方正小标宋_GBK" w:eastAsia="方正小标宋_GBK" w:hint="eastAsia"/>
          <w:bCs/>
          <w:color w:val="000000" w:themeColor="text1"/>
          <w:kern w:val="36"/>
          <w:sz w:val="36"/>
          <w:szCs w:val="36"/>
        </w:rPr>
        <w:t>上海市企业非货币性资产投资企业所得税</w:t>
      </w:r>
    </w:p>
    <w:p w:rsidR="007315D0" w:rsidRPr="00511D2A" w:rsidRDefault="007315D0" w:rsidP="007315D0">
      <w:pPr>
        <w:widowControl/>
        <w:shd w:val="clear" w:color="auto" w:fill="FFFFFF"/>
        <w:spacing w:line="360" w:lineRule="auto"/>
        <w:jc w:val="center"/>
        <w:rPr>
          <w:rFonts w:ascii="方正小标宋_GBK" w:eastAsia="方正小标宋_GBK"/>
          <w:bCs/>
          <w:color w:val="000000" w:themeColor="text1"/>
          <w:kern w:val="36"/>
          <w:sz w:val="36"/>
          <w:szCs w:val="36"/>
        </w:rPr>
      </w:pPr>
      <w:r w:rsidRPr="00511D2A">
        <w:rPr>
          <w:rFonts w:ascii="方正小标宋_GBK" w:eastAsia="方正小标宋_GBK" w:hint="eastAsia"/>
          <w:bCs/>
          <w:color w:val="000000" w:themeColor="text1"/>
          <w:kern w:val="36"/>
          <w:sz w:val="36"/>
          <w:szCs w:val="36"/>
        </w:rPr>
        <w:t>递延纳税申报事项操作规程</w:t>
      </w:r>
    </w:p>
    <w:p w:rsidR="007D7012" w:rsidRPr="00511D2A" w:rsidRDefault="007D7012" w:rsidP="007315D0">
      <w:pPr>
        <w:widowControl/>
        <w:shd w:val="clear" w:color="auto" w:fill="FFFFFF"/>
        <w:spacing w:line="360" w:lineRule="auto"/>
        <w:jc w:val="center"/>
        <w:rPr>
          <w:rFonts w:ascii="方正小标宋_GBK" w:eastAsia="方正小标宋_GBK"/>
          <w:color w:val="000000" w:themeColor="text1"/>
          <w:kern w:val="0"/>
          <w:sz w:val="36"/>
          <w:szCs w:val="36"/>
        </w:rPr>
      </w:pPr>
    </w:p>
    <w:p w:rsidR="007315D0" w:rsidRPr="00511D2A" w:rsidRDefault="007315D0" w:rsidP="007D7012">
      <w:pPr>
        <w:widowControl/>
        <w:shd w:val="clear" w:color="auto" w:fill="FFFFFF"/>
        <w:spacing w:line="360" w:lineRule="auto"/>
        <w:ind w:firstLineChars="200" w:firstLine="643"/>
        <w:jc w:val="left"/>
        <w:rPr>
          <w:rFonts w:eastAsia="仿宋_GB2312"/>
          <w:color w:val="000000" w:themeColor="text1"/>
          <w:kern w:val="0"/>
          <w:sz w:val="32"/>
          <w:szCs w:val="32"/>
        </w:rPr>
      </w:pPr>
      <w:r w:rsidRPr="00511D2A">
        <w:rPr>
          <w:rFonts w:eastAsia="仿宋_GB2312"/>
          <w:b/>
          <w:bCs/>
          <w:color w:val="000000" w:themeColor="text1"/>
          <w:kern w:val="0"/>
          <w:sz w:val="32"/>
          <w:szCs w:val="32"/>
        </w:rPr>
        <w:t>事项名称：</w:t>
      </w:r>
      <w:r w:rsidRPr="00511D2A">
        <w:rPr>
          <w:rFonts w:eastAsia="仿宋_GB2312"/>
          <w:bCs/>
          <w:color w:val="000000" w:themeColor="text1"/>
          <w:kern w:val="36"/>
          <w:sz w:val="32"/>
          <w:szCs w:val="32"/>
        </w:rPr>
        <w:t>非货币性资产投资企业所得税递延纳税申报</w:t>
      </w:r>
    </w:p>
    <w:p w:rsidR="007315D0" w:rsidRPr="00511D2A" w:rsidRDefault="007315D0" w:rsidP="007D7012">
      <w:pPr>
        <w:widowControl/>
        <w:shd w:val="clear" w:color="auto" w:fill="FFFFFF"/>
        <w:spacing w:line="360" w:lineRule="auto"/>
        <w:ind w:firstLineChars="200" w:firstLine="643"/>
        <w:jc w:val="left"/>
        <w:rPr>
          <w:rFonts w:eastAsia="仿宋_GB2312"/>
          <w:color w:val="000000" w:themeColor="text1"/>
          <w:sz w:val="32"/>
          <w:szCs w:val="32"/>
        </w:rPr>
      </w:pPr>
      <w:r w:rsidRPr="00511D2A">
        <w:rPr>
          <w:rFonts w:eastAsia="仿宋_GB2312"/>
          <w:b/>
          <w:color w:val="000000" w:themeColor="text1"/>
          <w:kern w:val="0"/>
          <w:sz w:val="32"/>
          <w:szCs w:val="32"/>
        </w:rPr>
        <w:t>申报依据</w:t>
      </w:r>
      <w:r w:rsidRPr="00511D2A">
        <w:rPr>
          <w:rFonts w:eastAsia="仿宋_GB2312"/>
          <w:color w:val="000000" w:themeColor="text1"/>
          <w:kern w:val="0"/>
          <w:sz w:val="32"/>
          <w:szCs w:val="32"/>
        </w:rPr>
        <w:t>：《中华人民共和国企业所得税法》及其实施条例、《</w:t>
      </w:r>
      <w:r w:rsidRPr="00511D2A">
        <w:rPr>
          <w:rFonts w:eastAsia="仿宋_GB2312"/>
          <w:bCs/>
          <w:color w:val="000000" w:themeColor="text1"/>
          <w:sz w:val="32"/>
          <w:szCs w:val="32"/>
        </w:rPr>
        <w:t>财政部</w:t>
      </w:r>
      <w:r w:rsidRPr="00511D2A">
        <w:rPr>
          <w:rFonts w:eastAsia="仿宋_GB2312"/>
          <w:bCs/>
          <w:color w:val="000000" w:themeColor="text1"/>
          <w:sz w:val="32"/>
          <w:szCs w:val="32"/>
        </w:rPr>
        <w:t xml:space="preserve"> </w:t>
      </w:r>
      <w:r w:rsidRPr="00511D2A">
        <w:rPr>
          <w:rFonts w:eastAsia="仿宋_GB2312"/>
          <w:bCs/>
          <w:color w:val="000000" w:themeColor="text1"/>
          <w:sz w:val="32"/>
          <w:szCs w:val="32"/>
        </w:rPr>
        <w:t>国家税务总局关于非货币性资产投资企业所得税政策问题的通知》（</w:t>
      </w:r>
      <w:r w:rsidRPr="00511D2A">
        <w:rPr>
          <w:rFonts w:eastAsia="仿宋_GB2312"/>
          <w:color w:val="000000" w:themeColor="text1"/>
          <w:sz w:val="32"/>
          <w:szCs w:val="32"/>
        </w:rPr>
        <w:t>财税〔</w:t>
      </w:r>
      <w:r w:rsidRPr="00511D2A">
        <w:rPr>
          <w:rFonts w:eastAsia="仿宋_GB2312"/>
          <w:color w:val="000000" w:themeColor="text1"/>
          <w:sz w:val="32"/>
          <w:szCs w:val="32"/>
        </w:rPr>
        <w:t>2014</w:t>
      </w:r>
      <w:r w:rsidRPr="00511D2A">
        <w:rPr>
          <w:rFonts w:eastAsia="仿宋_GB2312"/>
          <w:color w:val="000000" w:themeColor="text1"/>
          <w:sz w:val="32"/>
          <w:szCs w:val="32"/>
        </w:rPr>
        <w:t>〕</w:t>
      </w:r>
      <w:r w:rsidRPr="00511D2A">
        <w:rPr>
          <w:rFonts w:eastAsia="仿宋_GB2312"/>
          <w:color w:val="000000" w:themeColor="text1"/>
          <w:sz w:val="32"/>
          <w:szCs w:val="32"/>
        </w:rPr>
        <w:t>116</w:t>
      </w:r>
      <w:r w:rsidRPr="00511D2A">
        <w:rPr>
          <w:rFonts w:eastAsia="仿宋_GB2312"/>
          <w:color w:val="000000" w:themeColor="text1"/>
          <w:sz w:val="32"/>
          <w:szCs w:val="32"/>
        </w:rPr>
        <w:t>号）、《国家税务总局</w:t>
      </w:r>
      <w:r w:rsidRPr="00511D2A">
        <w:rPr>
          <w:rFonts w:eastAsia="仿宋_GB2312"/>
          <w:bCs/>
          <w:color w:val="000000" w:themeColor="text1"/>
          <w:sz w:val="32"/>
          <w:szCs w:val="32"/>
        </w:rPr>
        <w:t>关于非货币性资产投资企业所得税有关征管问题的公告》（</w:t>
      </w:r>
      <w:r w:rsidRPr="00511D2A">
        <w:rPr>
          <w:rFonts w:eastAsia="仿宋_GB2312"/>
          <w:color w:val="000000" w:themeColor="text1"/>
          <w:sz w:val="32"/>
          <w:szCs w:val="32"/>
        </w:rPr>
        <w:t>国家税务总局公告</w:t>
      </w:r>
      <w:r w:rsidRPr="00511D2A">
        <w:rPr>
          <w:rFonts w:eastAsia="仿宋_GB2312"/>
          <w:color w:val="000000" w:themeColor="text1"/>
          <w:sz w:val="32"/>
          <w:szCs w:val="32"/>
        </w:rPr>
        <w:t>2015</w:t>
      </w:r>
      <w:r w:rsidRPr="00511D2A">
        <w:rPr>
          <w:rFonts w:eastAsia="仿宋_GB2312"/>
          <w:color w:val="000000" w:themeColor="text1"/>
          <w:sz w:val="32"/>
          <w:szCs w:val="32"/>
        </w:rPr>
        <w:t>年第</w:t>
      </w:r>
      <w:r w:rsidRPr="00511D2A">
        <w:rPr>
          <w:rFonts w:eastAsia="仿宋_GB2312"/>
          <w:color w:val="000000" w:themeColor="text1"/>
          <w:sz w:val="32"/>
          <w:szCs w:val="32"/>
        </w:rPr>
        <w:t>33</w:t>
      </w:r>
      <w:r w:rsidRPr="00511D2A">
        <w:rPr>
          <w:rFonts w:eastAsia="仿宋_GB2312"/>
          <w:color w:val="000000" w:themeColor="text1"/>
          <w:sz w:val="32"/>
          <w:szCs w:val="32"/>
        </w:rPr>
        <w:t>号）。</w:t>
      </w:r>
    </w:p>
    <w:p w:rsidR="007315D0" w:rsidRPr="00511D2A" w:rsidRDefault="007315D0" w:rsidP="007D7012">
      <w:pPr>
        <w:widowControl/>
        <w:shd w:val="clear" w:color="auto" w:fill="FFFFFF"/>
        <w:spacing w:line="360" w:lineRule="auto"/>
        <w:ind w:firstLineChars="200" w:firstLine="640"/>
        <w:jc w:val="left"/>
        <w:rPr>
          <w:rFonts w:eastAsia="仿宋_GB2312"/>
          <w:color w:val="000000" w:themeColor="text1"/>
          <w:sz w:val="32"/>
          <w:szCs w:val="32"/>
        </w:rPr>
      </w:pPr>
      <w:r w:rsidRPr="00511D2A">
        <w:rPr>
          <w:rFonts w:eastAsia="仿宋_GB2312"/>
          <w:color w:val="000000" w:themeColor="text1"/>
          <w:sz w:val="32"/>
          <w:szCs w:val="32"/>
        </w:rPr>
        <w:t>分局工作要求：</w:t>
      </w:r>
    </w:p>
    <w:p w:rsidR="007315D0" w:rsidRPr="00511D2A" w:rsidRDefault="007315D0" w:rsidP="007D7012">
      <w:pPr>
        <w:widowControl/>
        <w:shd w:val="clear" w:color="auto" w:fill="FFFFFF"/>
        <w:spacing w:line="360" w:lineRule="auto"/>
        <w:ind w:firstLineChars="200" w:firstLine="640"/>
        <w:jc w:val="left"/>
        <w:rPr>
          <w:rFonts w:ascii="黑体" w:eastAsia="黑体"/>
          <w:color w:val="000000" w:themeColor="text1"/>
          <w:sz w:val="32"/>
          <w:szCs w:val="32"/>
        </w:rPr>
      </w:pPr>
      <w:r w:rsidRPr="00511D2A">
        <w:rPr>
          <w:rFonts w:ascii="黑体" w:eastAsia="黑体" w:hAnsi="华文楷体" w:hint="eastAsia"/>
          <w:color w:val="000000" w:themeColor="text1"/>
          <w:sz w:val="32"/>
          <w:szCs w:val="32"/>
        </w:rPr>
        <w:t>一、受理时间：</w:t>
      </w:r>
    </w:p>
    <w:p w:rsidR="007315D0" w:rsidRPr="00511D2A" w:rsidRDefault="007315D0" w:rsidP="007D7012">
      <w:pPr>
        <w:widowControl/>
        <w:shd w:val="clear" w:color="auto" w:fill="FFFFFF"/>
        <w:spacing w:line="360" w:lineRule="auto"/>
        <w:ind w:firstLineChars="200" w:firstLine="640"/>
        <w:jc w:val="left"/>
        <w:rPr>
          <w:rFonts w:eastAsia="仿宋_GB2312"/>
          <w:color w:val="000000" w:themeColor="text1"/>
          <w:kern w:val="0"/>
          <w:sz w:val="32"/>
          <w:szCs w:val="32"/>
        </w:rPr>
      </w:pPr>
      <w:r w:rsidRPr="00511D2A">
        <w:rPr>
          <w:rFonts w:eastAsia="仿宋_GB2312"/>
          <w:color w:val="000000" w:themeColor="text1"/>
          <w:kern w:val="0"/>
          <w:sz w:val="32"/>
          <w:szCs w:val="32"/>
        </w:rPr>
        <w:t>各税务分局受理部门应在企业非货币性资产转让所得递延确认期间每年企业所得税汇算清缴结束前，受理企业</w:t>
      </w:r>
      <w:r w:rsidRPr="00511D2A">
        <w:rPr>
          <w:rFonts w:eastAsia="仿宋_GB2312"/>
          <w:bCs/>
          <w:color w:val="000000" w:themeColor="text1"/>
          <w:kern w:val="36"/>
          <w:sz w:val="32"/>
          <w:szCs w:val="32"/>
        </w:rPr>
        <w:t>非货币性资产投资递延纳税申报。</w:t>
      </w:r>
    </w:p>
    <w:p w:rsidR="007315D0" w:rsidRPr="00511D2A" w:rsidRDefault="007315D0" w:rsidP="007D7012">
      <w:pPr>
        <w:widowControl/>
        <w:shd w:val="clear" w:color="auto" w:fill="FFFFFF"/>
        <w:spacing w:line="360" w:lineRule="auto"/>
        <w:ind w:firstLineChars="200" w:firstLine="640"/>
        <w:jc w:val="left"/>
        <w:rPr>
          <w:rFonts w:ascii="黑体" w:eastAsia="黑体" w:hAnsi="华文楷体"/>
          <w:color w:val="000000" w:themeColor="text1"/>
          <w:sz w:val="32"/>
          <w:szCs w:val="32"/>
        </w:rPr>
      </w:pPr>
      <w:r w:rsidRPr="00511D2A">
        <w:rPr>
          <w:rFonts w:ascii="黑体" w:eastAsia="黑体" w:hAnsi="华文楷体"/>
          <w:color w:val="000000" w:themeColor="text1"/>
          <w:sz w:val="32"/>
          <w:szCs w:val="32"/>
        </w:rPr>
        <w:t>二、受理资料：</w:t>
      </w:r>
    </w:p>
    <w:p w:rsidR="007315D0" w:rsidRPr="00511D2A" w:rsidRDefault="007315D0" w:rsidP="007D7012">
      <w:pPr>
        <w:widowControl/>
        <w:shd w:val="clear" w:color="auto" w:fill="FFFFFF"/>
        <w:spacing w:line="360" w:lineRule="auto"/>
        <w:ind w:firstLineChars="200" w:firstLine="640"/>
        <w:jc w:val="left"/>
        <w:rPr>
          <w:rFonts w:eastAsia="仿宋_GB2312"/>
          <w:color w:val="000000" w:themeColor="text1"/>
          <w:kern w:val="0"/>
          <w:sz w:val="32"/>
          <w:szCs w:val="32"/>
        </w:rPr>
      </w:pPr>
      <w:r w:rsidRPr="00511D2A">
        <w:rPr>
          <w:rFonts w:eastAsia="仿宋_GB2312"/>
          <w:color w:val="000000" w:themeColor="text1"/>
          <w:kern w:val="0"/>
          <w:sz w:val="32"/>
          <w:szCs w:val="32"/>
        </w:rPr>
        <w:t>1</w:t>
      </w:r>
      <w:r w:rsidRPr="00511D2A">
        <w:rPr>
          <w:rFonts w:eastAsia="仿宋_GB2312"/>
          <w:color w:val="000000" w:themeColor="text1"/>
          <w:kern w:val="0"/>
          <w:sz w:val="32"/>
          <w:szCs w:val="32"/>
        </w:rPr>
        <w:t>．《非货币性资产投资递延纳税调整明细表》。</w:t>
      </w:r>
    </w:p>
    <w:p w:rsidR="007315D0" w:rsidRPr="00511D2A" w:rsidRDefault="007315D0" w:rsidP="007D7012">
      <w:pPr>
        <w:widowControl/>
        <w:shd w:val="clear" w:color="auto" w:fill="FFFFFF"/>
        <w:spacing w:line="360" w:lineRule="auto"/>
        <w:ind w:firstLineChars="200" w:firstLine="640"/>
        <w:jc w:val="left"/>
        <w:rPr>
          <w:rFonts w:eastAsia="仿宋_GB2312"/>
          <w:color w:val="000000" w:themeColor="text1"/>
          <w:kern w:val="0"/>
          <w:sz w:val="32"/>
          <w:szCs w:val="32"/>
        </w:rPr>
      </w:pPr>
      <w:r w:rsidRPr="00511D2A">
        <w:rPr>
          <w:rFonts w:eastAsia="仿宋_GB2312"/>
          <w:color w:val="000000" w:themeColor="text1"/>
          <w:kern w:val="0"/>
          <w:sz w:val="32"/>
          <w:szCs w:val="32"/>
        </w:rPr>
        <w:t>2</w:t>
      </w:r>
      <w:r w:rsidRPr="00511D2A">
        <w:rPr>
          <w:rFonts w:eastAsia="仿宋_GB2312"/>
          <w:color w:val="000000" w:themeColor="text1"/>
          <w:kern w:val="0"/>
          <w:sz w:val="32"/>
          <w:szCs w:val="32"/>
        </w:rPr>
        <w:t>．在企业所得税年度汇算清缴纳税申报时，填报《中华人民共和国企业所得税年度纳税申报表》（</w:t>
      </w:r>
      <w:r w:rsidRPr="00511D2A">
        <w:rPr>
          <w:rFonts w:eastAsia="仿宋_GB2312"/>
          <w:color w:val="000000" w:themeColor="text1"/>
          <w:kern w:val="0"/>
          <w:sz w:val="32"/>
          <w:szCs w:val="32"/>
        </w:rPr>
        <w:t>A</w:t>
      </w:r>
      <w:r w:rsidRPr="00511D2A">
        <w:rPr>
          <w:rFonts w:eastAsia="仿宋_GB2312"/>
          <w:color w:val="000000" w:themeColor="text1"/>
          <w:kern w:val="0"/>
          <w:sz w:val="32"/>
          <w:szCs w:val="32"/>
        </w:rPr>
        <w:t>类，</w:t>
      </w:r>
      <w:r w:rsidRPr="00511D2A">
        <w:rPr>
          <w:rFonts w:eastAsia="仿宋_GB2312"/>
          <w:color w:val="000000" w:themeColor="text1"/>
          <w:kern w:val="0"/>
          <w:sz w:val="32"/>
          <w:szCs w:val="32"/>
        </w:rPr>
        <w:t>2014</w:t>
      </w:r>
      <w:r w:rsidRPr="00511D2A">
        <w:rPr>
          <w:rFonts w:eastAsia="仿宋_GB2312"/>
          <w:color w:val="000000" w:themeColor="text1"/>
          <w:kern w:val="0"/>
          <w:sz w:val="32"/>
          <w:szCs w:val="32"/>
        </w:rPr>
        <w:t>年版）中</w:t>
      </w:r>
      <w:r w:rsidRPr="00511D2A">
        <w:rPr>
          <w:rFonts w:eastAsia="仿宋_GB2312"/>
          <w:color w:val="000000" w:themeColor="text1"/>
          <w:kern w:val="0"/>
          <w:sz w:val="32"/>
          <w:szCs w:val="32"/>
        </w:rPr>
        <w:t>“A105100</w:t>
      </w:r>
      <w:r w:rsidRPr="00511D2A">
        <w:rPr>
          <w:rFonts w:eastAsia="仿宋_GB2312"/>
          <w:color w:val="000000" w:themeColor="text1"/>
          <w:kern w:val="0"/>
          <w:sz w:val="32"/>
          <w:szCs w:val="32"/>
        </w:rPr>
        <w:t>企业重组纳税调整明细表</w:t>
      </w:r>
      <w:r w:rsidRPr="00511D2A">
        <w:rPr>
          <w:rFonts w:eastAsia="仿宋_GB2312"/>
          <w:color w:val="000000" w:themeColor="text1"/>
          <w:kern w:val="0"/>
          <w:sz w:val="32"/>
          <w:szCs w:val="32"/>
        </w:rPr>
        <w:t>”</w:t>
      </w:r>
      <w:r w:rsidRPr="00511D2A">
        <w:rPr>
          <w:rFonts w:eastAsia="仿宋_GB2312"/>
          <w:color w:val="000000" w:themeColor="text1"/>
          <w:kern w:val="0"/>
          <w:sz w:val="32"/>
          <w:szCs w:val="32"/>
        </w:rPr>
        <w:t>第</w:t>
      </w:r>
      <w:r w:rsidRPr="00511D2A">
        <w:rPr>
          <w:rFonts w:eastAsia="仿宋_GB2312"/>
          <w:color w:val="000000" w:themeColor="text1"/>
          <w:kern w:val="0"/>
          <w:sz w:val="32"/>
          <w:szCs w:val="32"/>
        </w:rPr>
        <w:t>13</w:t>
      </w:r>
      <w:r w:rsidRPr="00511D2A">
        <w:rPr>
          <w:rFonts w:eastAsia="仿宋_GB2312"/>
          <w:color w:val="000000" w:themeColor="text1"/>
          <w:kern w:val="0"/>
          <w:sz w:val="32"/>
          <w:szCs w:val="32"/>
        </w:rPr>
        <w:t>行</w:t>
      </w:r>
      <w:r w:rsidRPr="00511D2A">
        <w:rPr>
          <w:rFonts w:eastAsia="仿宋_GB2312"/>
          <w:color w:val="000000" w:themeColor="text1"/>
          <w:kern w:val="0"/>
          <w:sz w:val="32"/>
          <w:szCs w:val="32"/>
        </w:rPr>
        <w:t>“</w:t>
      </w:r>
      <w:r w:rsidRPr="00511D2A">
        <w:rPr>
          <w:rFonts w:eastAsia="仿宋_GB2312"/>
          <w:color w:val="000000" w:themeColor="text1"/>
          <w:kern w:val="0"/>
          <w:sz w:val="32"/>
          <w:szCs w:val="32"/>
        </w:rPr>
        <w:t>其中：以非货币性资产对外投资</w:t>
      </w:r>
      <w:r w:rsidRPr="00511D2A">
        <w:rPr>
          <w:rFonts w:eastAsia="仿宋_GB2312"/>
          <w:color w:val="000000" w:themeColor="text1"/>
          <w:kern w:val="0"/>
          <w:sz w:val="32"/>
          <w:szCs w:val="32"/>
        </w:rPr>
        <w:t>”</w:t>
      </w:r>
      <w:r w:rsidRPr="00511D2A">
        <w:rPr>
          <w:rFonts w:eastAsia="仿宋_GB2312"/>
          <w:color w:val="000000" w:themeColor="text1"/>
          <w:kern w:val="0"/>
          <w:sz w:val="32"/>
          <w:szCs w:val="32"/>
        </w:rPr>
        <w:t>的相关栏目。</w:t>
      </w:r>
    </w:p>
    <w:p w:rsidR="007315D0" w:rsidRPr="00511D2A" w:rsidRDefault="007315D0" w:rsidP="007D7012">
      <w:pPr>
        <w:widowControl/>
        <w:shd w:val="clear" w:color="auto" w:fill="FFFFFF"/>
        <w:spacing w:line="360" w:lineRule="auto"/>
        <w:ind w:firstLineChars="200" w:firstLine="640"/>
        <w:jc w:val="left"/>
        <w:rPr>
          <w:rFonts w:ascii="黑体" w:eastAsia="黑体" w:hAnsi="华文楷体"/>
          <w:color w:val="000000" w:themeColor="text1"/>
          <w:sz w:val="32"/>
          <w:szCs w:val="32"/>
        </w:rPr>
      </w:pPr>
      <w:r w:rsidRPr="00511D2A">
        <w:rPr>
          <w:rFonts w:ascii="黑体" w:eastAsia="黑体" w:hAnsi="华文楷体"/>
          <w:color w:val="000000" w:themeColor="text1"/>
          <w:sz w:val="32"/>
          <w:szCs w:val="32"/>
        </w:rPr>
        <w:lastRenderedPageBreak/>
        <w:t>三、受理流程：受理窗口</w:t>
      </w:r>
    </w:p>
    <w:p w:rsidR="007315D0" w:rsidRPr="00511D2A" w:rsidRDefault="007315D0" w:rsidP="007D7012">
      <w:pPr>
        <w:widowControl/>
        <w:shd w:val="clear" w:color="auto" w:fill="FFFFFF"/>
        <w:spacing w:line="360" w:lineRule="auto"/>
        <w:ind w:firstLineChars="200" w:firstLine="640"/>
        <w:jc w:val="left"/>
        <w:rPr>
          <w:rFonts w:ascii="黑体" w:eastAsia="黑体" w:hAnsi="华文楷体"/>
          <w:color w:val="000000" w:themeColor="text1"/>
          <w:sz w:val="32"/>
          <w:szCs w:val="32"/>
        </w:rPr>
      </w:pPr>
      <w:r w:rsidRPr="00511D2A">
        <w:rPr>
          <w:rFonts w:ascii="黑体" w:eastAsia="黑体" w:hAnsi="华文楷体"/>
          <w:color w:val="000000" w:themeColor="text1"/>
          <w:sz w:val="32"/>
          <w:szCs w:val="32"/>
        </w:rPr>
        <w:t>四、受理期限：当场办结。</w:t>
      </w:r>
    </w:p>
    <w:p w:rsidR="00A75B8D" w:rsidRPr="00511D2A" w:rsidRDefault="007315D0" w:rsidP="007D7012">
      <w:pPr>
        <w:spacing w:line="360" w:lineRule="auto"/>
        <w:ind w:firstLineChars="200" w:firstLine="640"/>
        <w:rPr>
          <w:color w:val="000000" w:themeColor="text1"/>
        </w:rPr>
      </w:pPr>
      <w:r w:rsidRPr="00511D2A">
        <w:rPr>
          <w:rFonts w:ascii="黑体" w:eastAsia="黑体" w:hAnsi="华文楷体"/>
          <w:color w:val="000000" w:themeColor="text1"/>
          <w:sz w:val="32"/>
          <w:szCs w:val="32"/>
        </w:rPr>
        <w:t>五、回复方式</w:t>
      </w:r>
      <w:r w:rsidRPr="00511D2A">
        <w:rPr>
          <w:rFonts w:eastAsia="仿宋_GB2312"/>
          <w:color w:val="000000" w:themeColor="text1"/>
          <w:kern w:val="0"/>
          <w:sz w:val="32"/>
          <w:szCs w:val="32"/>
        </w:rPr>
        <w:t>：在企业上报的《非货币性资产投资递延纳税调整明细表》加盖主管税务机关受理专用章并发放《告知书》。</w:t>
      </w:r>
    </w:p>
    <w:sectPr w:rsidR="00A75B8D" w:rsidRPr="00511D2A" w:rsidSect="007D7012">
      <w:footerReference w:type="default" r:id="rId6"/>
      <w:pgSz w:w="11906" w:h="16838" w:code="9"/>
      <w:pgMar w:top="1304" w:right="1474" w:bottom="1247" w:left="1588" w:header="567" w:footer="90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2B48" w:rsidRDefault="00342B48" w:rsidP="00C841CA">
      <w:r>
        <w:separator/>
      </w:r>
    </w:p>
  </w:endnote>
  <w:endnote w:type="continuationSeparator" w:id="1">
    <w:p w:rsidR="00342B48" w:rsidRDefault="00342B48" w:rsidP="00C841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41CA" w:rsidRDefault="00C841CA">
    <w:pPr>
      <w:pStyle w:val="a4"/>
      <w:jc w:val="center"/>
    </w:pPr>
  </w:p>
  <w:p w:rsidR="00C841CA" w:rsidRDefault="00C841C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2B48" w:rsidRDefault="00342B48" w:rsidP="00C841CA">
      <w:r>
        <w:separator/>
      </w:r>
    </w:p>
  </w:footnote>
  <w:footnote w:type="continuationSeparator" w:id="1">
    <w:p w:rsidR="00342B48" w:rsidRDefault="00342B48" w:rsidP="00C841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15D0"/>
    <w:rsid w:val="000F03C0"/>
    <w:rsid w:val="00126400"/>
    <w:rsid w:val="00342B48"/>
    <w:rsid w:val="00511D2A"/>
    <w:rsid w:val="007315D0"/>
    <w:rsid w:val="007D7012"/>
    <w:rsid w:val="00892B8C"/>
    <w:rsid w:val="00A75B8D"/>
    <w:rsid w:val="00BC1A4D"/>
    <w:rsid w:val="00C841CA"/>
    <w:rsid w:val="00FF72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15D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41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41CA"/>
    <w:rPr>
      <w:rFonts w:ascii="Times New Roman" w:eastAsia="宋体" w:hAnsi="Times New Roman" w:cs="Times New Roman"/>
      <w:sz w:val="18"/>
      <w:szCs w:val="18"/>
    </w:rPr>
  </w:style>
  <w:style w:type="paragraph" w:styleId="a4">
    <w:name w:val="footer"/>
    <w:basedOn w:val="a"/>
    <w:link w:val="Char0"/>
    <w:uiPriority w:val="99"/>
    <w:unhideWhenUsed/>
    <w:rsid w:val="00C841CA"/>
    <w:pPr>
      <w:tabs>
        <w:tab w:val="center" w:pos="4153"/>
        <w:tab w:val="right" w:pos="8306"/>
      </w:tabs>
      <w:snapToGrid w:val="0"/>
      <w:jc w:val="left"/>
    </w:pPr>
    <w:rPr>
      <w:sz w:val="18"/>
      <w:szCs w:val="18"/>
    </w:rPr>
  </w:style>
  <w:style w:type="character" w:customStyle="1" w:styleId="Char0">
    <w:name w:val="页脚 Char"/>
    <w:basedOn w:val="a0"/>
    <w:link w:val="a4"/>
    <w:uiPriority w:val="99"/>
    <w:rsid w:val="00C841C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Words>
  <Characters>413</Characters>
  <Application>Microsoft Office Word</Application>
  <DocSecurity>0</DocSecurity>
  <Lines>3</Lines>
  <Paragraphs>1</Paragraphs>
  <ScaleCrop>false</ScaleCrop>
  <Company/>
  <LinksUpToDate>false</LinksUpToDate>
  <CharactersWithSpaces>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缪良英</dc:creator>
  <cp:keywords/>
  <dc:description/>
  <cp:lastModifiedBy>莫沪慧</cp:lastModifiedBy>
  <cp:revision>4</cp:revision>
  <cp:lastPrinted>2015-10-23T06:48:00Z</cp:lastPrinted>
  <dcterms:created xsi:type="dcterms:W3CDTF">2015-10-23T06:48:00Z</dcterms:created>
  <dcterms:modified xsi:type="dcterms:W3CDTF">2015-10-26T06:05:00Z</dcterms:modified>
</cp:coreProperties>
</file>