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08" w:type="dxa"/>
        <w:tblInd w:w="0" w:type="dxa"/>
        <w:shd w:val="clear" w:color="auto" w:fill="FFFFFF"/>
        <w:tblLayout w:type="fixed"/>
        <w:tblCellMar>
          <w:top w:w="0" w:type="dxa"/>
          <w:left w:w="0" w:type="dxa"/>
          <w:bottom w:w="0" w:type="dxa"/>
          <w:right w:w="0" w:type="dxa"/>
        </w:tblCellMar>
      </w:tblPr>
      <w:tblGrid>
        <w:gridCol w:w="692"/>
        <w:gridCol w:w="9677"/>
        <w:gridCol w:w="1345"/>
        <w:gridCol w:w="2614"/>
        <w:gridCol w:w="1080"/>
      </w:tblGrid>
      <w:tr>
        <w:tblPrEx>
          <w:shd w:val="clear" w:color="auto" w:fill="FFFFFF"/>
          <w:tblLayout w:type="fixed"/>
          <w:tblCellMar>
            <w:top w:w="0" w:type="dxa"/>
            <w:left w:w="0" w:type="dxa"/>
            <w:bottom w:w="0" w:type="dxa"/>
            <w:right w:w="0" w:type="dxa"/>
          </w:tblCellMar>
        </w:tblPrEx>
        <w:trPr>
          <w:trHeight w:val="619" w:hRule="atLeast"/>
        </w:trPr>
        <w:tc>
          <w:tcPr>
            <w:tcW w:w="15408"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lang w:val="en-US" w:eastAsia="zh-CN" w:bidi="ar"/>
              </w:rPr>
              <w:t>附件2</w:t>
            </w:r>
          </w:p>
        </w:tc>
      </w:tr>
      <w:tr>
        <w:tblPrEx>
          <w:tblLayout w:type="fixed"/>
          <w:tblCellMar>
            <w:top w:w="0" w:type="dxa"/>
            <w:left w:w="0" w:type="dxa"/>
            <w:bottom w:w="0" w:type="dxa"/>
            <w:right w:w="0" w:type="dxa"/>
          </w:tblCellMar>
        </w:tblPrEx>
        <w:trPr>
          <w:trHeight w:val="619" w:hRule="atLeast"/>
        </w:trPr>
        <w:tc>
          <w:tcPr>
            <w:tcW w:w="15408"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i w:val="0"/>
                <w:caps w:val="0"/>
                <w:color w:val="000000"/>
                <w:spacing w:val="0"/>
                <w:sz w:val="32"/>
                <w:szCs w:val="32"/>
                <w:u w:val="none"/>
              </w:rPr>
            </w:pPr>
            <w:r>
              <w:rPr>
                <w:rFonts w:hint="eastAsia" w:ascii="黑体" w:hAnsi="宋体" w:eastAsia="黑体" w:cs="黑体"/>
                <w:i w:val="0"/>
                <w:caps w:val="0"/>
                <w:color w:val="000000"/>
                <w:spacing w:val="0"/>
                <w:kern w:val="0"/>
                <w:sz w:val="32"/>
                <w:szCs w:val="32"/>
                <w:u w:val="none"/>
                <w:lang w:val="en-US" w:eastAsia="zh-CN" w:bidi="ar"/>
              </w:rPr>
              <w:t> 内蒙古自治区国家税务局部分条款失效或废止的税收规范性文件目录</w:t>
            </w:r>
          </w:p>
        </w:tc>
      </w:tr>
      <w:tr>
        <w:tblPrEx>
          <w:tblLayout w:type="fixed"/>
          <w:tblCellMar>
            <w:top w:w="0" w:type="dxa"/>
            <w:left w:w="0" w:type="dxa"/>
            <w:bottom w:w="0" w:type="dxa"/>
            <w:right w:w="0" w:type="dxa"/>
          </w:tblCellMar>
        </w:tblPrEx>
        <w:trPr>
          <w:trHeight w:val="619" w:hRule="atLeast"/>
        </w:trPr>
        <w:tc>
          <w:tcPr>
            <w:tcW w:w="692" w:type="dxa"/>
            <w:tcBorders>
              <w:top w:val="nil"/>
              <w:left w:val="nil"/>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32"/>
                <w:szCs w:val="32"/>
                <w:u w:val="none"/>
              </w:rPr>
            </w:pPr>
            <w:r>
              <w:rPr>
                <w:rFonts w:hint="eastAsia" w:ascii="黑体" w:hAnsi="宋体" w:eastAsia="黑体" w:cs="黑体"/>
                <w:b/>
                <w:i w:val="0"/>
                <w:caps w:val="0"/>
                <w:color w:val="000000"/>
                <w:spacing w:val="0"/>
                <w:kern w:val="0"/>
                <w:sz w:val="32"/>
                <w:szCs w:val="32"/>
                <w:u w:val="none"/>
                <w:lang w:val="en-US" w:eastAsia="zh-CN" w:bidi="ar"/>
              </w:rPr>
              <w:t>　</w:t>
            </w:r>
          </w:p>
        </w:tc>
        <w:tc>
          <w:tcPr>
            <w:tcW w:w="9677" w:type="dxa"/>
            <w:tcBorders>
              <w:top w:val="nil"/>
              <w:left w:val="nil"/>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32"/>
                <w:szCs w:val="32"/>
                <w:u w:val="none"/>
              </w:rPr>
            </w:pPr>
            <w:r>
              <w:rPr>
                <w:rFonts w:hint="eastAsia" w:ascii="黑体" w:hAnsi="宋体" w:eastAsia="黑体" w:cs="黑体"/>
                <w:b/>
                <w:i w:val="0"/>
                <w:caps w:val="0"/>
                <w:color w:val="000000"/>
                <w:spacing w:val="0"/>
                <w:kern w:val="0"/>
                <w:sz w:val="32"/>
                <w:szCs w:val="32"/>
                <w:u w:val="none"/>
                <w:lang w:val="en-US" w:eastAsia="zh-CN" w:bidi="ar"/>
              </w:rPr>
              <w:t>　</w:t>
            </w:r>
          </w:p>
        </w:tc>
        <w:tc>
          <w:tcPr>
            <w:tcW w:w="1345" w:type="dxa"/>
            <w:tcBorders>
              <w:top w:val="nil"/>
              <w:left w:val="nil"/>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32"/>
                <w:szCs w:val="32"/>
                <w:u w:val="none"/>
              </w:rPr>
            </w:pPr>
            <w:r>
              <w:rPr>
                <w:rFonts w:hint="eastAsia" w:ascii="黑体" w:hAnsi="宋体" w:eastAsia="黑体" w:cs="黑体"/>
                <w:b/>
                <w:i w:val="0"/>
                <w:caps w:val="0"/>
                <w:color w:val="000000"/>
                <w:spacing w:val="0"/>
                <w:kern w:val="0"/>
                <w:sz w:val="32"/>
                <w:szCs w:val="32"/>
                <w:u w:val="none"/>
                <w:lang w:val="en-US" w:eastAsia="zh-CN" w:bidi="ar"/>
              </w:rPr>
              <w:t>　</w:t>
            </w:r>
          </w:p>
        </w:tc>
        <w:tc>
          <w:tcPr>
            <w:tcW w:w="2614" w:type="dxa"/>
            <w:tcBorders>
              <w:top w:val="nil"/>
              <w:left w:val="nil"/>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32"/>
                <w:szCs w:val="32"/>
                <w:u w:val="none"/>
              </w:rPr>
            </w:pPr>
            <w:r>
              <w:rPr>
                <w:rFonts w:hint="eastAsia" w:ascii="黑体" w:hAnsi="宋体" w:eastAsia="黑体" w:cs="黑体"/>
                <w:b/>
                <w:i w:val="0"/>
                <w:caps w:val="0"/>
                <w:color w:val="000000"/>
                <w:spacing w:val="0"/>
                <w:kern w:val="0"/>
                <w:sz w:val="32"/>
                <w:szCs w:val="32"/>
                <w:u w:val="none"/>
                <w:lang w:val="en-US" w:eastAsia="zh-CN" w:bidi="ar"/>
              </w:rPr>
              <w:t>　</w:t>
            </w:r>
          </w:p>
        </w:tc>
        <w:tc>
          <w:tcPr>
            <w:tcW w:w="1080" w:type="dxa"/>
            <w:tcBorders>
              <w:top w:val="nil"/>
              <w:left w:val="nil"/>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黑体" w:hAnsi="宋体" w:eastAsia="黑体" w:cs="黑体"/>
                <w:b/>
                <w:i w:val="0"/>
                <w:caps w:val="0"/>
                <w:color w:val="000000"/>
                <w:spacing w:val="0"/>
                <w:sz w:val="32"/>
                <w:szCs w:val="32"/>
                <w:u w:val="none"/>
              </w:rPr>
            </w:pPr>
            <w:r>
              <w:rPr>
                <w:rFonts w:hint="eastAsia" w:ascii="黑体" w:hAnsi="宋体" w:eastAsia="黑体" w:cs="黑体"/>
                <w:b/>
                <w:i w:val="0"/>
                <w:caps w:val="0"/>
                <w:color w:val="000000"/>
                <w:spacing w:val="0"/>
                <w:kern w:val="0"/>
                <w:sz w:val="32"/>
                <w:szCs w:val="32"/>
                <w:u w:val="none"/>
                <w:lang w:val="en-US" w:eastAsia="zh-CN" w:bidi="ar"/>
              </w:rPr>
              <w:t>　</w:t>
            </w:r>
          </w:p>
        </w:tc>
      </w:tr>
      <w:tr>
        <w:tblPrEx>
          <w:tblLayout w:type="fixed"/>
          <w:tblCellMar>
            <w:top w:w="0" w:type="dxa"/>
            <w:left w:w="0" w:type="dxa"/>
            <w:bottom w:w="0" w:type="dxa"/>
            <w:right w:w="0" w:type="dxa"/>
          </w:tblCellMar>
        </w:tblPrEx>
        <w:trPr>
          <w:trHeight w:val="619" w:hRule="atLeast"/>
        </w:trPr>
        <w:tc>
          <w:tcPr>
            <w:tcW w:w="692"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20"/>
                <w:szCs w:val="20"/>
                <w:u w:val="none"/>
              </w:rPr>
            </w:pPr>
            <w:r>
              <w:rPr>
                <w:rFonts w:hint="eastAsia" w:ascii="黑体" w:hAnsi="宋体" w:eastAsia="黑体" w:cs="黑体"/>
                <w:b/>
                <w:i w:val="0"/>
                <w:caps w:val="0"/>
                <w:color w:val="000000"/>
                <w:spacing w:val="0"/>
                <w:kern w:val="0"/>
                <w:sz w:val="20"/>
                <w:szCs w:val="20"/>
                <w:u w:val="none"/>
                <w:lang w:val="en-US" w:eastAsia="zh-CN" w:bidi="ar"/>
              </w:rPr>
              <w:t>序号</w:t>
            </w:r>
          </w:p>
        </w:tc>
        <w:tc>
          <w:tcPr>
            <w:tcW w:w="9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20"/>
                <w:szCs w:val="20"/>
                <w:u w:val="none"/>
              </w:rPr>
            </w:pPr>
            <w:r>
              <w:rPr>
                <w:rFonts w:hint="eastAsia" w:ascii="黑体" w:hAnsi="宋体" w:eastAsia="黑体" w:cs="黑体"/>
                <w:b/>
                <w:i w:val="0"/>
                <w:caps w:val="0"/>
                <w:color w:val="000000"/>
                <w:spacing w:val="0"/>
                <w:kern w:val="0"/>
                <w:sz w:val="20"/>
                <w:szCs w:val="20"/>
                <w:u w:val="none"/>
                <w:lang w:val="en-US" w:eastAsia="zh-CN" w:bidi="ar"/>
              </w:rPr>
              <w:t>标题</w:t>
            </w:r>
          </w:p>
        </w:tc>
        <w:tc>
          <w:tcPr>
            <w:tcW w:w="1345"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20"/>
                <w:szCs w:val="20"/>
                <w:u w:val="none"/>
              </w:rPr>
            </w:pPr>
            <w:r>
              <w:rPr>
                <w:rFonts w:hint="eastAsia" w:ascii="黑体" w:hAnsi="宋体" w:eastAsia="黑体" w:cs="黑体"/>
                <w:b/>
                <w:i w:val="0"/>
                <w:caps w:val="0"/>
                <w:color w:val="000000"/>
                <w:spacing w:val="0"/>
                <w:kern w:val="0"/>
                <w:sz w:val="20"/>
                <w:szCs w:val="20"/>
                <w:u w:val="none"/>
                <w:lang w:val="en-US" w:eastAsia="zh-CN" w:bidi="ar"/>
              </w:rPr>
              <w:t>发文日期</w:t>
            </w:r>
          </w:p>
        </w:tc>
        <w:tc>
          <w:tcPr>
            <w:tcW w:w="2614"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20"/>
                <w:szCs w:val="20"/>
                <w:u w:val="none"/>
              </w:rPr>
            </w:pPr>
            <w:r>
              <w:rPr>
                <w:rFonts w:hint="eastAsia" w:ascii="黑体" w:hAnsi="宋体" w:eastAsia="黑体" w:cs="黑体"/>
                <w:b/>
                <w:i w:val="0"/>
                <w:caps w:val="0"/>
                <w:color w:val="000000"/>
                <w:spacing w:val="0"/>
                <w:kern w:val="0"/>
                <w:sz w:val="20"/>
                <w:szCs w:val="20"/>
                <w:u w:val="none"/>
                <w:lang w:val="en-US" w:eastAsia="zh-CN" w:bidi="ar"/>
              </w:rPr>
              <w:t>文号</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黑体" w:hAnsi="宋体" w:eastAsia="黑体" w:cs="黑体"/>
                <w:b/>
                <w:i w:val="0"/>
                <w:caps w:val="0"/>
                <w:color w:val="000000"/>
                <w:spacing w:val="0"/>
                <w:sz w:val="20"/>
                <w:szCs w:val="20"/>
                <w:u w:val="none"/>
              </w:rPr>
            </w:pPr>
            <w:r>
              <w:rPr>
                <w:rFonts w:hint="eastAsia" w:ascii="黑体" w:hAnsi="宋体" w:eastAsia="黑体" w:cs="黑体"/>
                <w:b/>
                <w:i w:val="0"/>
                <w:caps w:val="0"/>
                <w:color w:val="000000"/>
                <w:spacing w:val="0"/>
                <w:kern w:val="0"/>
                <w:sz w:val="20"/>
                <w:szCs w:val="20"/>
                <w:u w:val="none"/>
                <w:lang w:val="en-US" w:eastAsia="zh-CN" w:bidi="ar"/>
              </w:rPr>
              <w:t>失效或废止条款</w:t>
            </w:r>
          </w:p>
        </w:tc>
      </w:tr>
      <w:tr>
        <w:tblPrEx>
          <w:tblLayout w:type="fixed"/>
          <w:tblCellMar>
            <w:top w:w="0" w:type="dxa"/>
            <w:left w:w="0" w:type="dxa"/>
            <w:bottom w:w="0" w:type="dxa"/>
            <w:right w:w="0" w:type="dxa"/>
          </w:tblCellMar>
        </w:tblPrEx>
        <w:trPr>
          <w:trHeight w:val="619" w:hRule="atLeast"/>
        </w:trPr>
        <w:tc>
          <w:tcPr>
            <w:tcW w:w="692"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1</w:t>
            </w:r>
          </w:p>
        </w:tc>
        <w:tc>
          <w:tcPr>
            <w:tcW w:w="9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内蒙古自治区国家税务局关于印发《内蒙古自治区车辆购置税业务管理规程（试行）》的通知</w:t>
            </w:r>
          </w:p>
        </w:tc>
        <w:tc>
          <w:tcPr>
            <w:tcW w:w="1345"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2006.09.11</w:t>
            </w:r>
          </w:p>
        </w:tc>
        <w:tc>
          <w:tcPr>
            <w:tcW w:w="2614"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内国税流字〔2006〕24号</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第二条第（二）项中“转籍、过户、变更业务”；第四条第（一）项第2目中“《车辆变动情况登记表》（以下简称变动表）的发放”；第四条的第（四）项第1目中“转籍、过户、变更”；第六条第（五）项“过户、转籍、变更”；第七条第（四）项；第十条第（二）项。</w:t>
            </w:r>
          </w:p>
        </w:tc>
      </w:tr>
      <w:tr>
        <w:tblPrEx>
          <w:tblLayout w:type="fixed"/>
          <w:tblCellMar>
            <w:top w:w="0" w:type="dxa"/>
            <w:left w:w="0" w:type="dxa"/>
            <w:bottom w:w="0" w:type="dxa"/>
            <w:right w:w="0" w:type="dxa"/>
          </w:tblCellMar>
        </w:tblPrEx>
        <w:trPr>
          <w:trHeight w:val="619" w:hRule="atLeast"/>
        </w:trPr>
        <w:tc>
          <w:tcPr>
            <w:tcW w:w="692"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w:t>
            </w:r>
          </w:p>
        </w:tc>
        <w:tc>
          <w:tcPr>
            <w:tcW w:w="9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内蒙古自治区国家税务局关于进一步明确若干增值税政策管理问题的通知</w:t>
            </w:r>
          </w:p>
        </w:tc>
        <w:tc>
          <w:tcPr>
            <w:tcW w:w="1345"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2008.05.21</w:t>
            </w:r>
          </w:p>
        </w:tc>
        <w:tc>
          <w:tcPr>
            <w:tcW w:w="2614"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内国税流函〔2008〕35号</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第一条、第三条</w:t>
            </w:r>
          </w:p>
        </w:tc>
      </w:tr>
      <w:tr>
        <w:tblPrEx>
          <w:tblLayout w:type="fixed"/>
          <w:tblCellMar>
            <w:top w:w="0" w:type="dxa"/>
            <w:left w:w="0" w:type="dxa"/>
            <w:bottom w:w="0" w:type="dxa"/>
            <w:right w:w="0" w:type="dxa"/>
          </w:tblCellMar>
        </w:tblPrEx>
        <w:trPr>
          <w:trHeight w:val="619" w:hRule="atLeast"/>
        </w:trPr>
        <w:tc>
          <w:tcPr>
            <w:tcW w:w="692"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3</w:t>
            </w:r>
          </w:p>
        </w:tc>
        <w:tc>
          <w:tcPr>
            <w:tcW w:w="9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内蒙古国家税务局转发《国家税务总局关于印发增值税一般纳税人纳税辅导期管理办法》的通知</w:t>
            </w:r>
          </w:p>
        </w:tc>
        <w:tc>
          <w:tcPr>
            <w:tcW w:w="1345"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2010.04.23</w:t>
            </w:r>
          </w:p>
        </w:tc>
        <w:tc>
          <w:tcPr>
            <w:tcW w:w="2614"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内国税货劳字〔2010〕12号</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第八条“主管税务机关应在辅导期纳税人届满前1个月，对其在辅导期期间的增值税纳税情况开展税务稽查，并在届满前2个工作日内（含）将稽查结果书面通知认定管理部门”的规定，旗（县、区）国税局稽查部门在有限的时间内难以完成辅导期纳税人届满前的检查工作。因此，现将此条停止执行。</w:t>
            </w:r>
          </w:p>
        </w:tc>
      </w:tr>
      <w:tr>
        <w:tblPrEx>
          <w:tblLayout w:type="fixed"/>
          <w:tblCellMar>
            <w:top w:w="0" w:type="dxa"/>
            <w:left w:w="0" w:type="dxa"/>
            <w:bottom w:w="0" w:type="dxa"/>
            <w:right w:w="0" w:type="dxa"/>
          </w:tblCellMar>
        </w:tblPrEx>
        <w:trPr>
          <w:trHeight w:val="619" w:hRule="atLeast"/>
        </w:trPr>
        <w:tc>
          <w:tcPr>
            <w:tcW w:w="692"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4</w:t>
            </w:r>
          </w:p>
        </w:tc>
        <w:tc>
          <w:tcPr>
            <w:tcW w:w="9677"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内蒙古自治区国家税务局关于发布《内蒙古自治区农产品增值税进项税额核定扣除试点操作规程》的公告</w:t>
            </w:r>
          </w:p>
        </w:tc>
        <w:tc>
          <w:tcPr>
            <w:tcW w:w="1345"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2012.07.26</w:t>
            </w:r>
          </w:p>
        </w:tc>
        <w:tc>
          <w:tcPr>
            <w:tcW w:w="2614"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内蒙古自治区国家税务局公告2012年第11号</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line="450" w:lineRule="atLeast"/>
              <w:ind w:left="0" w:right="0" w:firstLine="0"/>
              <w:jc w:val="left"/>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lang w:val="en-US" w:eastAsia="zh-CN" w:bidi="ar"/>
              </w:rPr>
              <w:t>第二十三条</w:t>
            </w:r>
          </w:p>
        </w:tc>
      </w:tr>
      <w:tr>
        <w:tblPrEx>
          <w:tblLayout w:type="fixed"/>
          <w:tblCellMar>
            <w:top w:w="0" w:type="dxa"/>
            <w:left w:w="0" w:type="dxa"/>
            <w:bottom w:w="0" w:type="dxa"/>
            <w:right w:w="0" w:type="dxa"/>
          </w:tblCellMar>
        </w:tblPrEx>
        <w:trPr>
          <w:trHeight w:val="619" w:hRule="atLeast"/>
        </w:trPr>
        <w:tc>
          <w:tcPr>
            <w:tcW w:w="69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aps w:val="0"/>
                <w:color w:val="auto"/>
                <w:spacing w:val="0"/>
                <w:sz w:val="24"/>
                <w:szCs w:val="24"/>
                <w:u w:val="none"/>
              </w:rPr>
            </w:pPr>
          </w:p>
        </w:tc>
        <w:tc>
          <w:tcPr>
            <w:tcW w:w="9677" w:type="dxa"/>
            <w:tcBorders>
              <w:top w:val="nil"/>
              <w:left w:val="nil"/>
              <w:bottom w:val="nil"/>
              <w:right w:val="nil"/>
            </w:tcBorders>
            <w:shd w:val="clear" w:color="auto" w:fill="FFFFFF"/>
            <w:tcMar>
              <w:top w:w="15" w:type="dxa"/>
              <w:left w:w="15" w:type="dxa"/>
              <w:right w:w="15" w:type="dxa"/>
            </w:tcMar>
            <w:vAlign w:val="center"/>
          </w:tcPr>
          <w:p>
            <w:pPr>
              <w:jc w:val="left"/>
              <w:rPr>
                <w:rFonts w:hint="eastAsia" w:ascii="宋体" w:hAnsi="宋体" w:eastAsia="宋体" w:cs="宋体"/>
                <w:i w:val="0"/>
                <w:caps w:val="0"/>
                <w:color w:val="auto"/>
                <w:spacing w:val="0"/>
                <w:sz w:val="24"/>
                <w:szCs w:val="24"/>
                <w:u w:val="none"/>
              </w:rPr>
            </w:pPr>
          </w:p>
        </w:tc>
        <w:tc>
          <w:tcPr>
            <w:tcW w:w="134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aps w:val="0"/>
                <w:color w:val="auto"/>
                <w:spacing w:val="0"/>
                <w:sz w:val="24"/>
                <w:szCs w:val="24"/>
                <w:u w:val="none"/>
              </w:rPr>
            </w:pPr>
          </w:p>
        </w:tc>
        <w:tc>
          <w:tcPr>
            <w:tcW w:w="2614"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aps w:val="0"/>
                <w:color w:val="auto"/>
                <w:spacing w:val="0"/>
                <w:sz w:val="24"/>
                <w:szCs w:val="24"/>
                <w:u w:val="none"/>
              </w:rPr>
            </w:pPr>
          </w:p>
        </w:tc>
        <w:tc>
          <w:tcPr>
            <w:tcW w:w="108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eastAsia="宋体" w:cs="宋体"/>
                <w:i w:val="0"/>
                <w:caps w:val="0"/>
                <w:color w:val="auto"/>
                <w:spacing w:val="0"/>
                <w:sz w:val="24"/>
                <w:szCs w:val="24"/>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3044"/>
    <w:rsid w:val="25D6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2019-10-11T06:37:00Z</dcterms:created>
  <dc:creator>win7</dc:creator>
  <cp:lastModifiedBy>win7</cp:lastModifiedBy>
  <dcterms:modified xsi:type="dcterms:W3CDTF">2019-10-11T06:37:49Z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