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408" w:type="dxa"/>
        <w:tblInd w:w="0" w:type="dxa"/>
        <w:shd w:val="clear" w:color="auto" w:fill="FFFFFF"/>
        <w:tblLayout w:type="fixed"/>
        <w:tblCellMar>
          <w:top w:w="0" w:type="dxa"/>
          <w:left w:w="0" w:type="dxa"/>
          <w:bottom w:w="0" w:type="dxa"/>
          <w:right w:w="0" w:type="dxa"/>
        </w:tblCellMar>
      </w:tblPr>
      <w:tblGrid>
        <w:gridCol w:w="692"/>
        <w:gridCol w:w="9677"/>
        <w:gridCol w:w="1345"/>
        <w:gridCol w:w="2614"/>
        <w:gridCol w:w="1080"/>
      </w:tblGrid>
      <w:tr>
        <w:tblPrEx>
          <w:shd w:val="clear" w:color="auto" w:fill="FFFFFF"/>
          <w:tblLayout w:type="fixed"/>
          <w:tblCellMar>
            <w:top w:w="0" w:type="dxa"/>
            <w:left w:w="0" w:type="dxa"/>
            <w:bottom w:w="0" w:type="dxa"/>
            <w:right w:w="0" w:type="dxa"/>
          </w:tblCellMar>
        </w:tblPrEx>
        <w:trPr>
          <w:trHeight w:val="465" w:hRule="atLeast"/>
        </w:trPr>
        <w:tc>
          <w:tcPr>
            <w:tcW w:w="14328" w:type="dxa"/>
            <w:gridSpan w:val="4"/>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left"/>
              <w:textAlignment w:val="center"/>
              <w:rPr>
                <w:rFonts w:hint="eastAsia" w:ascii="宋体" w:hAnsi="宋体" w:eastAsia="宋体" w:cs="宋体"/>
                <w:i w:val="0"/>
                <w:caps w:val="0"/>
                <w:color w:val="auto"/>
                <w:spacing w:val="0"/>
                <w:sz w:val="24"/>
                <w:szCs w:val="24"/>
                <w:u w:val="none"/>
              </w:rPr>
            </w:pPr>
            <w:r>
              <w:rPr>
                <w:rFonts w:hint="eastAsia" w:ascii="宋体" w:hAnsi="宋体" w:eastAsia="宋体" w:cs="宋体"/>
                <w:i w:val="0"/>
                <w:caps w:val="0"/>
                <w:color w:val="auto"/>
                <w:spacing w:val="0"/>
                <w:kern w:val="0"/>
                <w:sz w:val="24"/>
                <w:szCs w:val="24"/>
                <w:u w:val="none"/>
                <w:lang w:val="en-US" w:eastAsia="zh-CN" w:bidi="ar"/>
              </w:rPr>
              <w:t>附件1</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auto"/>
                <w:spacing w:val="0"/>
                <w:sz w:val="24"/>
                <w:szCs w:val="24"/>
                <w:u w:val="none"/>
              </w:rPr>
            </w:pPr>
          </w:p>
        </w:tc>
      </w:tr>
      <w:tr>
        <w:tblPrEx>
          <w:tblLayout w:type="fixed"/>
          <w:tblCellMar>
            <w:top w:w="0" w:type="dxa"/>
            <w:left w:w="0" w:type="dxa"/>
            <w:bottom w:w="0" w:type="dxa"/>
            <w:right w:w="0" w:type="dxa"/>
          </w:tblCellMar>
        </w:tblPrEx>
        <w:trPr>
          <w:trHeight w:val="619" w:hRule="atLeast"/>
        </w:trPr>
        <w:tc>
          <w:tcPr>
            <w:tcW w:w="14328" w:type="dxa"/>
            <w:gridSpan w:val="4"/>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ascii="黑体" w:hAnsi="宋体" w:eastAsia="黑体" w:cs="黑体"/>
                <w:i w:val="0"/>
                <w:caps w:val="0"/>
                <w:color w:val="000000"/>
                <w:spacing w:val="0"/>
                <w:sz w:val="32"/>
                <w:szCs w:val="32"/>
                <w:u w:val="none"/>
              </w:rPr>
            </w:pPr>
            <w:r>
              <w:rPr>
                <w:rFonts w:hint="eastAsia" w:ascii="黑体" w:hAnsi="宋体" w:eastAsia="黑体" w:cs="黑体"/>
                <w:i w:val="0"/>
                <w:caps w:val="0"/>
                <w:color w:val="000000"/>
                <w:spacing w:val="0"/>
                <w:kern w:val="0"/>
                <w:sz w:val="32"/>
                <w:szCs w:val="32"/>
                <w:u w:val="none"/>
                <w:lang w:val="en-US" w:eastAsia="zh-CN" w:bidi="ar"/>
              </w:rPr>
              <w:t>内蒙古自治区国家税务局现行有效的税收规范性文件目录</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auto"/>
                <w:spacing w:val="0"/>
                <w:sz w:val="24"/>
                <w:szCs w:val="24"/>
                <w:u w:val="none"/>
              </w:rPr>
            </w:pPr>
          </w:p>
        </w:tc>
      </w:tr>
      <w:tr>
        <w:tblPrEx>
          <w:tblLayout w:type="fixed"/>
          <w:tblCellMar>
            <w:top w:w="0" w:type="dxa"/>
            <w:left w:w="0" w:type="dxa"/>
            <w:bottom w:w="0" w:type="dxa"/>
            <w:right w:w="0" w:type="dxa"/>
          </w:tblCellMar>
        </w:tblPrEx>
        <w:trPr>
          <w:trHeight w:val="619" w:hRule="atLeast"/>
        </w:trPr>
        <w:tc>
          <w:tcPr>
            <w:tcW w:w="69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黑体" w:hAnsi="宋体" w:eastAsia="黑体" w:cs="黑体"/>
                <w:b/>
                <w:i w:val="0"/>
                <w:caps w:val="0"/>
                <w:color w:val="000000"/>
                <w:spacing w:val="0"/>
                <w:sz w:val="20"/>
                <w:szCs w:val="20"/>
                <w:u w:val="none"/>
              </w:rPr>
            </w:pPr>
            <w:r>
              <w:rPr>
                <w:rFonts w:hint="eastAsia" w:ascii="黑体" w:hAnsi="宋体" w:eastAsia="黑体" w:cs="黑体"/>
                <w:b/>
                <w:i w:val="0"/>
                <w:caps w:val="0"/>
                <w:color w:val="000000"/>
                <w:spacing w:val="0"/>
                <w:kern w:val="0"/>
                <w:sz w:val="20"/>
                <w:szCs w:val="20"/>
                <w:u w:val="none"/>
                <w:lang w:val="en-US" w:eastAsia="zh-CN" w:bidi="ar"/>
              </w:rPr>
              <w:t>序号</w:t>
            </w:r>
          </w:p>
        </w:tc>
        <w:tc>
          <w:tcPr>
            <w:tcW w:w="9677" w:type="dxa"/>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黑体" w:hAnsi="宋体" w:eastAsia="黑体" w:cs="黑体"/>
                <w:b/>
                <w:i w:val="0"/>
                <w:caps w:val="0"/>
                <w:color w:val="000000"/>
                <w:spacing w:val="0"/>
                <w:sz w:val="20"/>
                <w:szCs w:val="20"/>
                <w:u w:val="none"/>
              </w:rPr>
            </w:pPr>
            <w:r>
              <w:rPr>
                <w:rFonts w:hint="eastAsia" w:ascii="黑体" w:hAnsi="宋体" w:eastAsia="黑体" w:cs="黑体"/>
                <w:b/>
                <w:i w:val="0"/>
                <w:caps w:val="0"/>
                <w:color w:val="000000"/>
                <w:spacing w:val="0"/>
                <w:kern w:val="0"/>
                <w:sz w:val="20"/>
                <w:szCs w:val="20"/>
                <w:u w:val="none"/>
                <w:lang w:val="en-US" w:eastAsia="zh-CN" w:bidi="ar"/>
              </w:rPr>
              <w:t>标      题</w:t>
            </w:r>
          </w:p>
        </w:tc>
        <w:tc>
          <w:tcPr>
            <w:tcW w:w="1345" w:type="dxa"/>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黑体" w:hAnsi="宋体" w:eastAsia="黑体" w:cs="黑体"/>
                <w:b/>
                <w:i w:val="0"/>
                <w:caps w:val="0"/>
                <w:color w:val="000000"/>
                <w:spacing w:val="0"/>
                <w:sz w:val="20"/>
                <w:szCs w:val="20"/>
                <w:u w:val="none"/>
              </w:rPr>
            </w:pPr>
            <w:r>
              <w:rPr>
                <w:rFonts w:hint="eastAsia" w:ascii="黑体" w:hAnsi="宋体" w:eastAsia="黑体" w:cs="黑体"/>
                <w:b/>
                <w:i w:val="0"/>
                <w:caps w:val="0"/>
                <w:color w:val="000000"/>
                <w:spacing w:val="0"/>
                <w:kern w:val="0"/>
                <w:sz w:val="20"/>
                <w:szCs w:val="20"/>
                <w:u w:val="none"/>
                <w:lang w:val="en-US" w:eastAsia="zh-CN" w:bidi="ar"/>
              </w:rPr>
              <w:t>发文日期</w:t>
            </w:r>
          </w:p>
        </w:tc>
        <w:tc>
          <w:tcPr>
            <w:tcW w:w="2614" w:type="dxa"/>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黑体" w:hAnsi="宋体" w:eastAsia="黑体" w:cs="黑体"/>
                <w:b/>
                <w:i w:val="0"/>
                <w:caps w:val="0"/>
                <w:color w:val="000000"/>
                <w:spacing w:val="0"/>
                <w:sz w:val="20"/>
                <w:szCs w:val="20"/>
                <w:u w:val="none"/>
              </w:rPr>
            </w:pPr>
            <w:r>
              <w:rPr>
                <w:rFonts w:hint="eastAsia" w:ascii="黑体" w:hAnsi="宋体" w:eastAsia="黑体" w:cs="黑体"/>
                <w:b/>
                <w:i w:val="0"/>
                <w:caps w:val="0"/>
                <w:color w:val="000000"/>
                <w:spacing w:val="0"/>
                <w:kern w:val="0"/>
                <w:sz w:val="20"/>
                <w:szCs w:val="20"/>
                <w:u w:val="none"/>
                <w:lang w:val="en-US" w:eastAsia="zh-CN" w:bidi="ar"/>
              </w:rPr>
              <w:t>文号</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auto"/>
                <w:spacing w:val="0"/>
                <w:sz w:val="24"/>
                <w:szCs w:val="24"/>
                <w:u w:val="none"/>
              </w:rPr>
            </w:pPr>
          </w:p>
        </w:tc>
      </w:tr>
      <w:tr>
        <w:tblPrEx>
          <w:tblLayout w:type="fixed"/>
          <w:tblCellMar>
            <w:top w:w="0" w:type="dxa"/>
            <w:left w:w="0" w:type="dxa"/>
            <w:bottom w:w="0" w:type="dxa"/>
            <w:right w:w="0" w:type="dxa"/>
          </w:tblCellMar>
        </w:tblPrEx>
        <w:trPr>
          <w:trHeight w:val="619" w:hRule="atLeast"/>
        </w:trPr>
        <w:tc>
          <w:tcPr>
            <w:tcW w:w="692"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w:t>
            </w:r>
          </w:p>
        </w:tc>
        <w:tc>
          <w:tcPr>
            <w:tcW w:w="9677"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left"/>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内蒙古自治区国家税务局转发国家税务总局关于印发《储蓄存款利息所得个人所得税征收管理办法》的通知    </w:t>
            </w:r>
          </w:p>
        </w:tc>
        <w:tc>
          <w:tcPr>
            <w:tcW w:w="1345"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1999.10.27</w:t>
            </w:r>
          </w:p>
        </w:tc>
        <w:tc>
          <w:tcPr>
            <w:tcW w:w="2614"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内国税所字〔1999〕46号</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auto"/>
                <w:spacing w:val="0"/>
                <w:sz w:val="24"/>
                <w:szCs w:val="24"/>
                <w:u w:val="none"/>
              </w:rPr>
            </w:pPr>
          </w:p>
        </w:tc>
      </w:tr>
      <w:tr>
        <w:tblPrEx>
          <w:tblLayout w:type="fixed"/>
          <w:tblCellMar>
            <w:top w:w="0" w:type="dxa"/>
            <w:left w:w="0" w:type="dxa"/>
            <w:bottom w:w="0" w:type="dxa"/>
            <w:right w:w="0" w:type="dxa"/>
          </w:tblCellMar>
        </w:tblPrEx>
        <w:trPr>
          <w:trHeight w:val="619" w:hRule="atLeast"/>
        </w:trPr>
        <w:tc>
          <w:tcPr>
            <w:tcW w:w="692"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w:t>
            </w:r>
          </w:p>
        </w:tc>
        <w:tc>
          <w:tcPr>
            <w:tcW w:w="9677"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left"/>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内蒙古自治区国家税务局转发国家税务总局关于做好储蓄存款利息所得个人所得税代扣代缴义务人登记工作的紧急通知</w:t>
            </w:r>
          </w:p>
        </w:tc>
        <w:tc>
          <w:tcPr>
            <w:tcW w:w="1345"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1999.10.27</w:t>
            </w:r>
          </w:p>
        </w:tc>
        <w:tc>
          <w:tcPr>
            <w:tcW w:w="2614"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内国税所字〔1999〕49号</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aps w:val="0"/>
                <w:color w:val="auto"/>
                <w:spacing w:val="0"/>
                <w:sz w:val="20"/>
                <w:szCs w:val="20"/>
                <w:u w:val="none"/>
              </w:rPr>
            </w:pPr>
          </w:p>
        </w:tc>
      </w:tr>
      <w:tr>
        <w:tblPrEx>
          <w:tblLayout w:type="fixed"/>
          <w:tblCellMar>
            <w:top w:w="0" w:type="dxa"/>
            <w:left w:w="0" w:type="dxa"/>
            <w:bottom w:w="0" w:type="dxa"/>
            <w:right w:w="0" w:type="dxa"/>
          </w:tblCellMar>
        </w:tblPrEx>
        <w:trPr>
          <w:trHeight w:val="619" w:hRule="atLeast"/>
        </w:trPr>
        <w:tc>
          <w:tcPr>
            <w:tcW w:w="692"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w:t>
            </w:r>
          </w:p>
        </w:tc>
        <w:tc>
          <w:tcPr>
            <w:tcW w:w="9677"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left"/>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内蒙古自治区国家税务局转发国家税务总局、中国人民银行关于规范储蓄存款利息清单的通知</w:t>
            </w:r>
          </w:p>
        </w:tc>
        <w:tc>
          <w:tcPr>
            <w:tcW w:w="1345"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2000.08.25</w:t>
            </w:r>
          </w:p>
        </w:tc>
        <w:tc>
          <w:tcPr>
            <w:tcW w:w="2614"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内国税所字〔2000〕59号</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default" w:ascii="仿宋_GB2312" w:hAnsi="宋体" w:eastAsia="仿宋_GB2312" w:cs="仿宋_GB2312"/>
                <w:i w:val="0"/>
                <w:caps w:val="0"/>
                <w:color w:val="auto"/>
                <w:spacing w:val="0"/>
                <w:sz w:val="20"/>
                <w:szCs w:val="20"/>
                <w:u w:val="none"/>
              </w:rPr>
            </w:pPr>
          </w:p>
        </w:tc>
      </w:tr>
      <w:tr>
        <w:tblPrEx>
          <w:tblLayout w:type="fixed"/>
          <w:tblCellMar>
            <w:top w:w="0" w:type="dxa"/>
            <w:left w:w="0" w:type="dxa"/>
            <w:bottom w:w="0" w:type="dxa"/>
            <w:right w:w="0" w:type="dxa"/>
          </w:tblCellMar>
        </w:tblPrEx>
        <w:trPr>
          <w:trHeight w:val="619" w:hRule="atLeast"/>
        </w:trPr>
        <w:tc>
          <w:tcPr>
            <w:tcW w:w="692"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4</w:t>
            </w:r>
          </w:p>
        </w:tc>
        <w:tc>
          <w:tcPr>
            <w:tcW w:w="9677"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left"/>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内蒙古自治区国家税务局转发国家税务总局关于加强和规范税务机关代开普通发票工作的通知</w:t>
            </w:r>
          </w:p>
        </w:tc>
        <w:tc>
          <w:tcPr>
            <w:tcW w:w="1345"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2004.10.28</w:t>
            </w:r>
          </w:p>
        </w:tc>
        <w:tc>
          <w:tcPr>
            <w:tcW w:w="2614"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内国税征函〔2004〕11号</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default" w:ascii="仿宋_GB2312" w:hAnsi="宋体" w:eastAsia="仿宋_GB2312" w:cs="仿宋_GB2312"/>
                <w:i w:val="0"/>
                <w:caps w:val="0"/>
                <w:color w:val="auto"/>
                <w:spacing w:val="0"/>
                <w:sz w:val="20"/>
                <w:szCs w:val="20"/>
                <w:u w:val="none"/>
              </w:rPr>
            </w:pPr>
          </w:p>
        </w:tc>
      </w:tr>
      <w:tr>
        <w:tblPrEx>
          <w:tblLayout w:type="fixed"/>
          <w:tblCellMar>
            <w:top w:w="0" w:type="dxa"/>
            <w:left w:w="0" w:type="dxa"/>
            <w:bottom w:w="0" w:type="dxa"/>
            <w:right w:w="0" w:type="dxa"/>
          </w:tblCellMar>
        </w:tblPrEx>
        <w:trPr>
          <w:trHeight w:val="619" w:hRule="atLeast"/>
        </w:trPr>
        <w:tc>
          <w:tcPr>
            <w:tcW w:w="692"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5</w:t>
            </w:r>
          </w:p>
        </w:tc>
        <w:tc>
          <w:tcPr>
            <w:tcW w:w="9677"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left"/>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内蒙古自治区国家税务局转发国家税务总局关于印发《纳税人财务会计报表报送管理办法》的通知</w:t>
            </w:r>
          </w:p>
        </w:tc>
        <w:tc>
          <w:tcPr>
            <w:tcW w:w="1345"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2005.05.23</w:t>
            </w:r>
          </w:p>
        </w:tc>
        <w:tc>
          <w:tcPr>
            <w:tcW w:w="2614"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内国税征函〔2005〕9号</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default" w:ascii="仿宋_GB2312" w:hAnsi="宋体" w:eastAsia="仿宋_GB2312" w:cs="仿宋_GB2312"/>
                <w:i w:val="0"/>
                <w:caps w:val="0"/>
                <w:color w:val="auto"/>
                <w:spacing w:val="0"/>
                <w:sz w:val="20"/>
                <w:szCs w:val="20"/>
                <w:u w:val="none"/>
              </w:rPr>
            </w:pPr>
          </w:p>
        </w:tc>
      </w:tr>
      <w:tr>
        <w:tblPrEx>
          <w:tblLayout w:type="fixed"/>
          <w:tblCellMar>
            <w:top w:w="0" w:type="dxa"/>
            <w:left w:w="0" w:type="dxa"/>
            <w:bottom w:w="0" w:type="dxa"/>
            <w:right w:w="0" w:type="dxa"/>
          </w:tblCellMar>
        </w:tblPrEx>
        <w:trPr>
          <w:trHeight w:val="619" w:hRule="atLeast"/>
        </w:trPr>
        <w:tc>
          <w:tcPr>
            <w:tcW w:w="692"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6</w:t>
            </w:r>
          </w:p>
        </w:tc>
        <w:tc>
          <w:tcPr>
            <w:tcW w:w="9677"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left"/>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内蒙古自治区国家税务局转发国家税务总局关于规范未达增值税营业税起征点的个体工商户税收征收管理的通知</w:t>
            </w:r>
          </w:p>
        </w:tc>
        <w:tc>
          <w:tcPr>
            <w:tcW w:w="1345"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2005.08.05</w:t>
            </w:r>
          </w:p>
        </w:tc>
        <w:tc>
          <w:tcPr>
            <w:tcW w:w="2614"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内国税征函〔2005〕15号</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default" w:ascii="仿宋_GB2312" w:hAnsi="宋体" w:eastAsia="仿宋_GB2312" w:cs="仿宋_GB2312"/>
                <w:i w:val="0"/>
                <w:caps w:val="0"/>
                <w:color w:val="auto"/>
                <w:spacing w:val="0"/>
                <w:sz w:val="20"/>
                <w:szCs w:val="20"/>
                <w:u w:val="none"/>
              </w:rPr>
            </w:pPr>
          </w:p>
        </w:tc>
      </w:tr>
      <w:tr>
        <w:tblPrEx>
          <w:tblLayout w:type="fixed"/>
          <w:tblCellMar>
            <w:top w:w="0" w:type="dxa"/>
            <w:left w:w="0" w:type="dxa"/>
            <w:bottom w:w="0" w:type="dxa"/>
            <w:right w:w="0" w:type="dxa"/>
          </w:tblCellMar>
        </w:tblPrEx>
        <w:trPr>
          <w:trHeight w:val="619" w:hRule="atLeast"/>
        </w:trPr>
        <w:tc>
          <w:tcPr>
            <w:tcW w:w="692"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7</w:t>
            </w:r>
          </w:p>
        </w:tc>
        <w:tc>
          <w:tcPr>
            <w:tcW w:w="9677"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left"/>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内蒙古自治区国家税务局关于国有粮食购销企业改制后继续享受增值税优惠政策的通知</w:t>
            </w:r>
          </w:p>
        </w:tc>
        <w:tc>
          <w:tcPr>
            <w:tcW w:w="1345"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2005.09.12</w:t>
            </w:r>
          </w:p>
        </w:tc>
        <w:tc>
          <w:tcPr>
            <w:tcW w:w="2614"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内国税流函〔2005〕79号</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default" w:ascii="仿宋_GB2312" w:hAnsi="宋体" w:eastAsia="仿宋_GB2312" w:cs="仿宋_GB2312"/>
                <w:i w:val="0"/>
                <w:caps w:val="0"/>
                <w:color w:val="auto"/>
                <w:spacing w:val="0"/>
                <w:sz w:val="20"/>
                <w:szCs w:val="20"/>
                <w:u w:val="none"/>
              </w:rPr>
            </w:pPr>
          </w:p>
        </w:tc>
      </w:tr>
      <w:tr>
        <w:tblPrEx>
          <w:tblLayout w:type="fixed"/>
          <w:tblCellMar>
            <w:top w:w="0" w:type="dxa"/>
            <w:left w:w="0" w:type="dxa"/>
            <w:bottom w:w="0" w:type="dxa"/>
            <w:right w:w="0" w:type="dxa"/>
          </w:tblCellMar>
        </w:tblPrEx>
        <w:trPr>
          <w:trHeight w:val="619" w:hRule="atLeast"/>
        </w:trPr>
        <w:tc>
          <w:tcPr>
            <w:tcW w:w="692"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8</w:t>
            </w:r>
          </w:p>
        </w:tc>
        <w:tc>
          <w:tcPr>
            <w:tcW w:w="9677"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left"/>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内蒙古自治区国家税务局关于粕类饲料产品征免增值税的批复</w:t>
            </w:r>
          </w:p>
        </w:tc>
        <w:tc>
          <w:tcPr>
            <w:tcW w:w="1345"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2005.09.15</w:t>
            </w:r>
          </w:p>
        </w:tc>
        <w:tc>
          <w:tcPr>
            <w:tcW w:w="2614"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内国税流函〔2005〕82号</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default" w:ascii="仿宋_GB2312" w:hAnsi="宋体" w:eastAsia="仿宋_GB2312" w:cs="仿宋_GB2312"/>
                <w:i w:val="0"/>
                <w:caps w:val="0"/>
                <w:color w:val="auto"/>
                <w:spacing w:val="0"/>
                <w:sz w:val="20"/>
                <w:szCs w:val="20"/>
                <w:u w:val="none"/>
              </w:rPr>
            </w:pPr>
          </w:p>
        </w:tc>
      </w:tr>
      <w:tr>
        <w:tblPrEx>
          <w:tblLayout w:type="fixed"/>
          <w:tblCellMar>
            <w:top w:w="0" w:type="dxa"/>
            <w:left w:w="0" w:type="dxa"/>
            <w:bottom w:w="0" w:type="dxa"/>
            <w:right w:w="0" w:type="dxa"/>
          </w:tblCellMar>
        </w:tblPrEx>
        <w:trPr>
          <w:trHeight w:val="619" w:hRule="atLeast"/>
        </w:trPr>
        <w:tc>
          <w:tcPr>
            <w:tcW w:w="692"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9</w:t>
            </w:r>
          </w:p>
        </w:tc>
        <w:tc>
          <w:tcPr>
            <w:tcW w:w="9677"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left"/>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关于转发《教育储蓄存款利息所得免征个人所得税实施办法》及有关问题的通知</w:t>
            </w:r>
          </w:p>
        </w:tc>
        <w:tc>
          <w:tcPr>
            <w:tcW w:w="1345"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2005.11.14</w:t>
            </w:r>
          </w:p>
        </w:tc>
        <w:tc>
          <w:tcPr>
            <w:tcW w:w="2614"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内国税所字〔2005〕27号</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default" w:ascii="仿宋_GB2312" w:hAnsi="宋体" w:eastAsia="仿宋_GB2312" w:cs="仿宋_GB2312"/>
                <w:i w:val="0"/>
                <w:caps w:val="0"/>
                <w:color w:val="auto"/>
                <w:spacing w:val="0"/>
                <w:sz w:val="20"/>
                <w:szCs w:val="20"/>
                <w:u w:val="none"/>
              </w:rPr>
            </w:pPr>
          </w:p>
        </w:tc>
      </w:tr>
      <w:tr>
        <w:tblPrEx>
          <w:tblLayout w:type="fixed"/>
          <w:tblCellMar>
            <w:top w:w="0" w:type="dxa"/>
            <w:left w:w="0" w:type="dxa"/>
            <w:bottom w:w="0" w:type="dxa"/>
            <w:right w:w="0" w:type="dxa"/>
          </w:tblCellMar>
        </w:tblPrEx>
        <w:trPr>
          <w:trHeight w:val="619" w:hRule="atLeast"/>
        </w:trPr>
        <w:tc>
          <w:tcPr>
            <w:tcW w:w="692"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10</w:t>
            </w:r>
          </w:p>
        </w:tc>
        <w:tc>
          <w:tcPr>
            <w:tcW w:w="9677"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left"/>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内蒙古自治区国家税务局关于马铃薯全粉适用增值税税率的批复</w:t>
            </w:r>
          </w:p>
        </w:tc>
        <w:tc>
          <w:tcPr>
            <w:tcW w:w="1345"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2005.12.31</w:t>
            </w:r>
          </w:p>
        </w:tc>
        <w:tc>
          <w:tcPr>
            <w:tcW w:w="2614"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内国税流字〔2005〕52号</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default" w:ascii="仿宋_GB2312" w:hAnsi="宋体" w:eastAsia="仿宋_GB2312" w:cs="仿宋_GB2312"/>
                <w:i w:val="0"/>
                <w:caps w:val="0"/>
                <w:color w:val="auto"/>
                <w:spacing w:val="0"/>
                <w:sz w:val="20"/>
                <w:szCs w:val="20"/>
                <w:u w:val="none"/>
              </w:rPr>
            </w:pPr>
          </w:p>
        </w:tc>
      </w:tr>
      <w:tr>
        <w:tblPrEx>
          <w:tblLayout w:type="fixed"/>
          <w:tblCellMar>
            <w:top w:w="0" w:type="dxa"/>
            <w:left w:w="0" w:type="dxa"/>
            <w:bottom w:w="0" w:type="dxa"/>
            <w:right w:w="0" w:type="dxa"/>
          </w:tblCellMar>
        </w:tblPrEx>
        <w:trPr>
          <w:trHeight w:val="619" w:hRule="atLeast"/>
        </w:trPr>
        <w:tc>
          <w:tcPr>
            <w:tcW w:w="692"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11</w:t>
            </w:r>
          </w:p>
        </w:tc>
        <w:tc>
          <w:tcPr>
            <w:tcW w:w="9677"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left"/>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内蒙古自治区国家税务局关于进一步明确纳税人报送财务会计报表有关问题的通知</w:t>
            </w:r>
          </w:p>
        </w:tc>
        <w:tc>
          <w:tcPr>
            <w:tcW w:w="1345"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2006.01.09</w:t>
            </w:r>
          </w:p>
        </w:tc>
        <w:tc>
          <w:tcPr>
            <w:tcW w:w="2614"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内国税征字〔2006〕2号</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default" w:ascii="仿宋_GB2312" w:hAnsi="宋体" w:eastAsia="仿宋_GB2312" w:cs="仿宋_GB2312"/>
                <w:i w:val="0"/>
                <w:caps w:val="0"/>
                <w:color w:val="auto"/>
                <w:spacing w:val="0"/>
                <w:sz w:val="20"/>
                <w:szCs w:val="20"/>
                <w:u w:val="none"/>
              </w:rPr>
            </w:pPr>
          </w:p>
        </w:tc>
      </w:tr>
      <w:tr>
        <w:tblPrEx>
          <w:tblLayout w:type="fixed"/>
          <w:tblCellMar>
            <w:top w:w="0" w:type="dxa"/>
            <w:left w:w="0" w:type="dxa"/>
            <w:bottom w:w="0" w:type="dxa"/>
            <w:right w:w="0" w:type="dxa"/>
          </w:tblCellMar>
        </w:tblPrEx>
        <w:trPr>
          <w:trHeight w:val="619" w:hRule="atLeast"/>
        </w:trPr>
        <w:tc>
          <w:tcPr>
            <w:tcW w:w="692"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12</w:t>
            </w:r>
          </w:p>
        </w:tc>
        <w:tc>
          <w:tcPr>
            <w:tcW w:w="9677"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left"/>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内蒙古自治区国家税务局关于印发《内蒙古自治区车辆购置税业务管理规程（试行）》的通知</w:t>
            </w:r>
          </w:p>
        </w:tc>
        <w:tc>
          <w:tcPr>
            <w:tcW w:w="1345"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2006.09.11</w:t>
            </w:r>
          </w:p>
        </w:tc>
        <w:tc>
          <w:tcPr>
            <w:tcW w:w="2614"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内国税流字〔2006〕24号</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default" w:ascii="仿宋_GB2312" w:hAnsi="宋体" w:eastAsia="仿宋_GB2312" w:cs="仿宋_GB2312"/>
                <w:i w:val="0"/>
                <w:caps w:val="0"/>
                <w:color w:val="auto"/>
                <w:spacing w:val="0"/>
                <w:sz w:val="20"/>
                <w:szCs w:val="20"/>
                <w:u w:val="none"/>
              </w:rPr>
            </w:pPr>
          </w:p>
        </w:tc>
      </w:tr>
      <w:tr>
        <w:tblPrEx>
          <w:tblLayout w:type="fixed"/>
          <w:tblCellMar>
            <w:top w:w="0" w:type="dxa"/>
            <w:left w:w="0" w:type="dxa"/>
            <w:bottom w:w="0" w:type="dxa"/>
            <w:right w:w="0" w:type="dxa"/>
          </w:tblCellMar>
        </w:tblPrEx>
        <w:trPr>
          <w:trHeight w:val="619" w:hRule="atLeast"/>
        </w:trPr>
        <w:tc>
          <w:tcPr>
            <w:tcW w:w="692"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13</w:t>
            </w:r>
          </w:p>
        </w:tc>
        <w:tc>
          <w:tcPr>
            <w:tcW w:w="9677"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left"/>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内蒙古自治区国家税务局转发国家税务总局第17号令的通知</w:t>
            </w:r>
          </w:p>
        </w:tc>
        <w:tc>
          <w:tcPr>
            <w:tcW w:w="1345"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2007.02.25</w:t>
            </w:r>
          </w:p>
        </w:tc>
        <w:tc>
          <w:tcPr>
            <w:tcW w:w="2614"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内国税征函〔2007〕4号</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auto"/>
                <w:spacing w:val="0"/>
                <w:sz w:val="24"/>
                <w:szCs w:val="24"/>
                <w:u w:val="none"/>
              </w:rPr>
            </w:pPr>
          </w:p>
        </w:tc>
      </w:tr>
      <w:tr>
        <w:tblPrEx>
          <w:tblLayout w:type="fixed"/>
          <w:tblCellMar>
            <w:top w:w="0" w:type="dxa"/>
            <w:left w:w="0" w:type="dxa"/>
            <w:bottom w:w="0" w:type="dxa"/>
            <w:right w:w="0" w:type="dxa"/>
          </w:tblCellMar>
        </w:tblPrEx>
        <w:trPr>
          <w:trHeight w:val="619" w:hRule="atLeast"/>
        </w:trPr>
        <w:tc>
          <w:tcPr>
            <w:tcW w:w="692"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14</w:t>
            </w:r>
          </w:p>
        </w:tc>
        <w:tc>
          <w:tcPr>
            <w:tcW w:w="9677"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left"/>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内蒙古自治区国家税务局关于转发国家税务总局16号令等文件的通知</w:t>
            </w:r>
          </w:p>
        </w:tc>
        <w:tc>
          <w:tcPr>
            <w:tcW w:w="1345"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2007.04.03</w:t>
            </w:r>
          </w:p>
        </w:tc>
        <w:tc>
          <w:tcPr>
            <w:tcW w:w="2614"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内国税征函〔2007〕8号</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auto"/>
                <w:spacing w:val="0"/>
                <w:sz w:val="24"/>
                <w:szCs w:val="24"/>
                <w:u w:val="none"/>
              </w:rPr>
            </w:pPr>
          </w:p>
        </w:tc>
      </w:tr>
      <w:tr>
        <w:tblPrEx>
          <w:tblLayout w:type="fixed"/>
          <w:tblCellMar>
            <w:top w:w="0" w:type="dxa"/>
            <w:left w:w="0" w:type="dxa"/>
            <w:bottom w:w="0" w:type="dxa"/>
            <w:right w:w="0" w:type="dxa"/>
          </w:tblCellMar>
        </w:tblPrEx>
        <w:trPr>
          <w:trHeight w:val="619" w:hRule="atLeast"/>
        </w:trPr>
        <w:tc>
          <w:tcPr>
            <w:tcW w:w="692"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15</w:t>
            </w:r>
          </w:p>
        </w:tc>
        <w:tc>
          <w:tcPr>
            <w:tcW w:w="9677"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left"/>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内蒙古自治区国家税务局关于饲料产品免征增值税管理问题的通知</w:t>
            </w:r>
          </w:p>
        </w:tc>
        <w:tc>
          <w:tcPr>
            <w:tcW w:w="1345"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2008.01.09</w:t>
            </w:r>
          </w:p>
        </w:tc>
        <w:tc>
          <w:tcPr>
            <w:tcW w:w="2614"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内国税流字〔2008〕2号</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auto"/>
                <w:spacing w:val="0"/>
                <w:sz w:val="24"/>
                <w:szCs w:val="24"/>
                <w:u w:val="none"/>
              </w:rPr>
            </w:pPr>
          </w:p>
        </w:tc>
      </w:tr>
      <w:tr>
        <w:tblPrEx>
          <w:tblLayout w:type="fixed"/>
          <w:tblCellMar>
            <w:top w:w="0" w:type="dxa"/>
            <w:left w:w="0" w:type="dxa"/>
            <w:bottom w:w="0" w:type="dxa"/>
            <w:right w:w="0" w:type="dxa"/>
          </w:tblCellMar>
        </w:tblPrEx>
        <w:trPr>
          <w:trHeight w:val="619" w:hRule="atLeast"/>
        </w:trPr>
        <w:tc>
          <w:tcPr>
            <w:tcW w:w="692"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16</w:t>
            </w:r>
          </w:p>
        </w:tc>
        <w:tc>
          <w:tcPr>
            <w:tcW w:w="9677"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left"/>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内蒙古自治区国家税务局关于进一步明确若干增值税政策管理问题的通知</w:t>
            </w:r>
          </w:p>
        </w:tc>
        <w:tc>
          <w:tcPr>
            <w:tcW w:w="1345"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2008.05.21</w:t>
            </w:r>
          </w:p>
        </w:tc>
        <w:tc>
          <w:tcPr>
            <w:tcW w:w="2614"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内国税流函〔2008〕35号</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auto"/>
                <w:spacing w:val="0"/>
                <w:sz w:val="24"/>
                <w:szCs w:val="24"/>
                <w:u w:val="none"/>
              </w:rPr>
            </w:pPr>
          </w:p>
        </w:tc>
      </w:tr>
      <w:tr>
        <w:tblPrEx>
          <w:tblLayout w:type="fixed"/>
          <w:tblCellMar>
            <w:top w:w="0" w:type="dxa"/>
            <w:left w:w="0" w:type="dxa"/>
            <w:bottom w:w="0" w:type="dxa"/>
            <w:right w:w="0" w:type="dxa"/>
          </w:tblCellMar>
        </w:tblPrEx>
        <w:trPr>
          <w:trHeight w:val="619" w:hRule="atLeast"/>
        </w:trPr>
        <w:tc>
          <w:tcPr>
            <w:tcW w:w="692"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17</w:t>
            </w:r>
          </w:p>
        </w:tc>
        <w:tc>
          <w:tcPr>
            <w:tcW w:w="9677"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left"/>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内蒙古国家税务局转发《国家税务总局关于印发增值税一般纳税人纳税辅导期管理办法》的通知</w:t>
            </w:r>
          </w:p>
        </w:tc>
        <w:tc>
          <w:tcPr>
            <w:tcW w:w="1345"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2010.04.23</w:t>
            </w:r>
          </w:p>
        </w:tc>
        <w:tc>
          <w:tcPr>
            <w:tcW w:w="2614"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内国税货劳字〔2010〕12号</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auto"/>
                <w:spacing w:val="0"/>
                <w:sz w:val="24"/>
                <w:szCs w:val="24"/>
                <w:u w:val="none"/>
              </w:rPr>
            </w:pPr>
          </w:p>
        </w:tc>
      </w:tr>
      <w:tr>
        <w:tblPrEx>
          <w:tblLayout w:type="fixed"/>
          <w:tblCellMar>
            <w:top w:w="0" w:type="dxa"/>
            <w:left w:w="0" w:type="dxa"/>
            <w:bottom w:w="0" w:type="dxa"/>
            <w:right w:w="0" w:type="dxa"/>
          </w:tblCellMar>
        </w:tblPrEx>
        <w:trPr>
          <w:trHeight w:val="619" w:hRule="atLeast"/>
        </w:trPr>
        <w:tc>
          <w:tcPr>
            <w:tcW w:w="692"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18</w:t>
            </w:r>
          </w:p>
        </w:tc>
        <w:tc>
          <w:tcPr>
            <w:tcW w:w="9677"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left"/>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内蒙古自治区国家税务局关于印发中国工商银行股份有限公司等企业所属在内蒙古三级分支机构名单的公告</w:t>
            </w:r>
          </w:p>
        </w:tc>
        <w:tc>
          <w:tcPr>
            <w:tcW w:w="1345"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2011.09.05</w:t>
            </w:r>
          </w:p>
        </w:tc>
        <w:tc>
          <w:tcPr>
            <w:tcW w:w="2614"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内蒙古自治区国家税务局公告2011年第4号</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auto"/>
                <w:spacing w:val="0"/>
                <w:sz w:val="24"/>
                <w:szCs w:val="24"/>
                <w:u w:val="none"/>
              </w:rPr>
            </w:pPr>
          </w:p>
        </w:tc>
      </w:tr>
      <w:tr>
        <w:tblPrEx>
          <w:tblLayout w:type="fixed"/>
          <w:tblCellMar>
            <w:top w:w="0" w:type="dxa"/>
            <w:left w:w="0" w:type="dxa"/>
            <w:bottom w:w="0" w:type="dxa"/>
            <w:right w:w="0" w:type="dxa"/>
          </w:tblCellMar>
        </w:tblPrEx>
        <w:trPr>
          <w:trHeight w:val="619" w:hRule="atLeast"/>
        </w:trPr>
        <w:tc>
          <w:tcPr>
            <w:tcW w:w="692"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19</w:t>
            </w:r>
          </w:p>
        </w:tc>
        <w:tc>
          <w:tcPr>
            <w:tcW w:w="9677"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left"/>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内蒙古自治区国家税务局关于金融机构开展实物黄金交易业务增值税问题的公告</w:t>
            </w:r>
          </w:p>
        </w:tc>
        <w:tc>
          <w:tcPr>
            <w:tcW w:w="1345"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2012.04.20</w:t>
            </w:r>
          </w:p>
        </w:tc>
        <w:tc>
          <w:tcPr>
            <w:tcW w:w="2614"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内蒙古自治区国家税务局公告</w:t>
            </w:r>
            <w:r>
              <w:rPr>
                <w:rFonts w:hint="eastAsia" w:ascii="宋体" w:hAnsi="宋体" w:eastAsia="宋体" w:cs="宋体"/>
                <w:i w:val="0"/>
                <w:caps w:val="0"/>
                <w:color w:val="auto"/>
                <w:spacing w:val="0"/>
                <w:kern w:val="0"/>
                <w:sz w:val="20"/>
                <w:szCs w:val="20"/>
                <w:u w:val="none"/>
                <w:lang w:val="en-US" w:eastAsia="zh-CN" w:bidi="ar"/>
              </w:rPr>
              <w:br w:type="textWrapping"/>
            </w:r>
            <w:r>
              <w:rPr>
                <w:rFonts w:hint="eastAsia" w:ascii="宋体" w:hAnsi="宋体" w:eastAsia="宋体" w:cs="宋体"/>
                <w:i w:val="0"/>
                <w:caps w:val="0"/>
                <w:color w:val="auto"/>
                <w:spacing w:val="0"/>
                <w:kern w:val="0"/>
                <w:sz w:val="20"/>
                <w:szCs w:val="20"/>
                <w:u w:val="none"/>
                <w:lang w:val="en-US" w:eastAsia="zh-CN" w:bidi="ar"/>
              </w:rPr>
              <w:t>2012年第7号</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auto"/>
                <w:spacing w:val="0"/>
                <w:sz w:val="24"/>
                <w:szCs w:val="24"/>
                <w:u w:val="none"/>
              </w:rPr>
            </w:pPr>
          </w:p>
        </w:tc>
      </w:tr>
      <w:tr>
        <w:tblPrEx>
          <w:tblLayout w:type="fixed"/>
          <w:tblCellMar>
            <w:top w:w="0" w:type="dxa"/>
            <w:left w:w="0" w:type="dxa"/>
            <w:bottom w:w="0" w:type="dxa"/>
            <w:right w:w="0" w:type="dxa"/>
          </w:tblCellMar>
        </w:tblPrEx>
        <w:trPr>
          <w:trHeight w:val="619" w:hRule="atLeast"/>
        </w:trPr>
        <w:tc>
          <w:tcPr>
            <w:tcW w:w="692"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w:t>
            </w:r>
          </w:p>
        </w:tc>
        <w:tc>
          <w:tcPr>
            <w:tcW w:w="9677"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left"/>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 内蒙古自治区财政厅关于发布部分产品试行核定扣除农产品增值税进项税额内蒙古自治区统一扣除标准的公告</w:t>
            </w:r>
          </w:p>
        </w:tc>
        <w:tc>
          <w:tcPr>
            <w:tcW w:w="1345"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2012.07.06</w:t>
            </w:r>
          </w:p>
        </w:tc>
        <w:tc>
          <w:tcPr>
            <w:tcW w:w="2614"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内蒙古自治区国家税务局公告2012年第10号</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auto"/>
                <w:spacing w:val="0"/>
                <w:sz w:val="24"/>
                <w:szCs w:val="24"/>
                <w:u w:val="none"/>
              </w:rPr>
            </w:pPr>
          </w:p>
        </w:tc>
      </w:tr>
      <w:tr>
        <w:tblPrEx>
          <w:tblLayout w:type="fixed"/>
          <w:tblCellMar>
            <w:top w:w="0" w:type="dxa"/>
            <w:left w:w="0" w:type="dxa"/>
            <w:bottom w:w="0" w:type="dxa"/>
            <w:right w:w="0" w:type="dxa"/>
          </w:tblCellMar>
        </w:tblPrEx>
        <w:trPr>
          <w:trHeight w:val="619" w:hRule="atLeast"/>
        </w:trPr>
        <w:tc>
          <w:tcPr>
            <w:tcW w:w="692"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21</w:t>
            </w:r>
          </w:p>
        </w:tc>
        <w:tc>
          <w:tcPr>
            <w:tcW w:w="9677"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left"/>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内蒙古自治区国家税务局关于发布《内蒙古自治区农产品增值税进项税额核定扣除试点操作规程》的公告</w:t>
            </w:r>
          </w:p>
        </w:tc>
        <w:tc>
          <w:tcPr>
            <w:tcW w:w="1345"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2012.07.26</w:t>
            </w:r>
          </w:p>
        </w:tc>
        <w:tc>
          <w:tcPr>
            <w:tcW w:w="2614"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内蒙古自治区国家税务局公告2012年第11号</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auto"/>
                <w:spacing w:val="0"/>
                <w:sz w:val="24"/>
                <w:szCs w:val="24"/>
                <w:u w:val="none"/>
              </w:rPr>
            </w:pPr>
          </w:p>
        </w:tc>
      </w:tr>
      <w:tr>
        <w:tblPrEx>
          <w:tblLayout w:type="fixed"/>
          <w:tblCellMar>
            <w:top w:w="0" w:type="dxa"/>
            <w:left w:w="0" w:type="dxa"/>
            <w:bottom w:w="0" w:type="dxa"/>
            <w:right w:w="0" w:type="dxa"/>
          </w:tblCellMar>
        </w:tblPrEx>
        <w:trPr>
          <w:trHeight w:val="619" w:hRule="atLeast"/>
        </w:trPr>
        <w:tc>
          <w:tcPr>
            <w:tcW w:w="692"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22</w:t>
            </w:r>
          </w:p>
        </w:tc>
        <w:tc>
          <w:tcPr>
            <w:tcW w:w="9677"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left"/>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内蒙古自治区国家税务局关于地方金融企业所得税有关政策适用问题的公告</w:t>
            </w:r>
          </w:p>
        </w:tc>
        <w:tc>
          <w:tcPr>
            <w:tcW w:w="1345"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2012.10.09</w:t>
            </w:r>
          </w:p>
        </w:tc>
        <w:tc>
          <w:tcPr>
            <w:tcW w:w="2614"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内蒙古自治区国家税务局公告2012年第13号</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auto"/>
                <w:spacing w:val="0"/>
                <w:sz w:val="24"/>
                <w:szCs w:val="24"/>
                <w:u w:val="none"/>
              </w:rPr>
            </w:pPr>
          </w:p>
        </w:tc>
      </w:tr>
      <w:tr>
        <w:tblPrEx>
          <w:tblLayout w:type="fixed"/>
          <w:tblCellMar>
            <w:top w:w="0" w:type="dxa"/>
            <w:left w:w="0" w:type="dxa"/>
            <w:bottom w:w="0" w:type="dxa"/>
            <w:right w:w="0" w:type="dxa"/>
          </w:tblCellMar>
        </w:tblPrEx>
        <w:trPr>
          <w:trHeight w:val="619" w:hRule="atLeast"/>
        </w:trPr>
        <w:tc>
          <w:tcPr>
            <w:tcW w:w="692"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23</w:t>
            </w:r>
          </w:p>
        </w:tc>
        <w:tc>
          <w:tcPr>
            <w:tcW w:w="9677"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left"/>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 内蒙古自治区财政厅关于发布部分产品试行核定扣除农产品增值税进项税额内蒙古自治区统一扣除标准的公告</w:t>
            </w:r>
          </w:p>
        </w:tc>
        <w:tc>
          <w:tcPr>
            <w:tcW w:w="1345"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2013.02.04</w:t>
            </w:r>
          </w:p>
        </w:tc>
        <w:tc>
          <w:tcPr>
            <w:tcW w:w="2614"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内蒙古自治区国家税务局公告2013年第2号</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auto"/>
                <w:spacing w:val="0"/>
                <w:sz w:val="24"/>
                <w:szCs w:val="24"/>
                <w:u w:val="none"/>
              </w:rPr>
            </w:pPr>
          </w:p>
        </w:tc>
      </w:tr>
      <w:tr>
        <w:tblPrEx>
          <w:tblLayout w:type="fixed"/>
          <w:tblCellMar>
            <w:top w:w="0" w:type="dxa"/>
            <w:left w:w="0" w:type="dxa"/>
            <w:bottom w:w="0" w:type="dxa"/>
            <w:right w:w="0" w:type="dxa"/>
          </w:tblCellMar>
        </w:tblPrEx>
        <w:trPr>
          <w:trHeight w:val="619" w:hRule="atLeast"/>
        </w:trPr>
        <w:tc>
          <w:tcPr>
            <w:tcW w:w="692"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24</w:t>
            </w:r>
          </w:p>
        </w:tc>
        <w:tc>
          <w:tcPr>
            <w:tcW w:w="9677"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left"/>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内蒙古自治区国家税务局关于启用新版《车辆购置税完税证明》的公告</w:t>
            </w:r>
          </w:p>
        </w:tc>
        <w:tc>
          <w:tcPr>
            <w:tcW w:w="1345"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2013.03.18</w:t>
            </w:r>
          </w:p>
        </w:tc>
        <w:tc>
          <w:tcPr>
            <w:tcW w:w="2614"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内蒙古自治区国家税务局公告</w:t>
            </w:r>
            <w:r>
              <w:rPr>
                <w:rFonts w:hint="eastAsia" w:ascii="宋体" w:hAnsi="宋体" w:eastAsia="宋体" w:cs="宋体"/>
                <w:i w:val="0"/>
                <w:caps w:val="0"/>
                <w:color w:val="auto"/>
                <w:spacing w:val="0"/>
                <w:kern w:val="0"/>
                <w:sz w:val="20"/>
                <w:szCs w:val="20"/>
                <w:u w:val="none"/>
                <w:lang w:val="en-US" w:eastAsia="zh-CN" w:bidi="ar"/>
              </w:rPr>
              <w:br w:type="textWrapping"/>
            </w:r>
            <w:r>
              <w:rPr>
                <w:rFonts w:hint="eastAsia" w:ascii="宋体" w:hAnsi="宋体" w:eastAsia="宋体" w:cs="宋体"/>
                <w:i w:val="0"/>
                <w:caps w:val="0"/>
                <w:color w:val="auto"/>
                <w:spacing w:val="0"/>
                <w:kern w:val="0"/>
                <w:sz w:val="20"/>
                <w:szCs w:val="20"/>
                <w:u w:val="none"/>
                <w:lang w:val="en-US" w:eastAsia="zh-CN" w:bidi="ar"/>
              </w:rPr>
              <w:t>2013年第3号</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auto"/>
                <w:spacing w:val="0"/>
                <w:sz w:val="24"/>
                <w:szCs w:val="24"/>
                <w:u w:val="none"/>
              </w:rPr>
            </w:pPr>
          </w:p>
        </w:tc>
      </w:tr>
      <w:tr>
        <w:tblPrEx>
          <w:tblLayout w:type="fixed"/>
          <w:tblCellMar>
            <w:top w:w="0" w:type="dxa"/>
            <w:left w:w="0" w:type="dxa"/>
            <w:bottom w:w="0" w:type="dxa"/>
            <w:right w:w="0" w:type="dxa"/>
          </w:tblCellMar>
        </w:tblPrEx>
        <w:trPr>
          <w:trHeight w:val="619" w:hRule="atLeast"/>
        </w:trPr>
        <w:tc>
          <w:tcPr>
            <w:tcW w:w="692"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25</w:t>
            </w:r>
          </w:p>
        </w:tc>
        <w:tc>
          <w:tcPr>
            <w:tcW w:w="9677"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left"/>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内蒙古自治区国家税务局、地方税务局关于印发内蒙古自治区《汇总纳税企业所得税征收管理办法》的公告</w:t>
            </w:r>
          </w:p>
        </w:tc>
        <w:tc>
          <w:tcPr>
            <w:tcW w:w="1345"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2013.06.18</w:t>
            </w:r>
          </w:p>
        </w:tc>
        <w:tc>
          <w:tcPr>
            <w:tcW w:w="2614"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内蒙古自治区国家税务局公告2013年第7号</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auto"/>
                <w:spacing w:val="0"/>
                <w:sz w:val="24"/>
                <w:szCs w:val="24"/>
                <w:u w:val="none"/>
              </w:rPr>
            </w:pPr>
          </w:p>
        </w:tc>
      </w:tr>
      <w:tr>
        <w:tblPrEx>
          <w:tblLayout w:type="fixed"/>
          <w:tblCellMar>
            <w:top w:w="0" w:type="dxa"/>
            <w:left w:w="0" w:type="dxa"/>
            <w:bottom w:w="0" w:type="dxa"/>
            <w:right w:w="0" w:type="dxa"/>
          </w:tblCellMar>
        </w:tblPrEx>
        <w:trPr>
          <w:trHeight w:val="619" w:hRule="atLeast"/>
        </w:trPr>
        <w:tc>
          <w:tcPr>
            <w:tcW w:w="692"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26</w:t>
            </w:r>
          </w:p>
        </w:tc>
        <w:tc>
          <w:tcPr>
            <w:tcW w:w="9677"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left"/>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内蒙古自治区国家税务局内蒙古自治区地方税务局关于营业税改征增值税有关普通发票事项的公告</w:t>
            </w:r>
          </w:p>
        </w:tc>
        <w:tc>
          <w:tcPr>
            <w:tcW w:w="1345"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2013.07.09</w:t>
            </w:r>
          </w:p>
        </w:tc>
        <w:tc>
          <w:tcPr>
            <w:tcW w:w="2614"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内蒙古自治区国家税务局公告2013年第11号</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auto"/>
                <w:spacing w:val="0"/>
                <w:sz w:val="24"/>
                <w:szCs w:val="24"/>
                <w:u w:val="none"/>
              </w:rPr>
            </w:pPr>
          </w:p>
        </w:tc>
      </w:tr>
      <w:tr>
        <w:tblPrEx>
          <w:tblLayout w:type="fixed"/>
          <w:tblCellMar>
            <w:top w:w="0" w:type="dxa"/>
            <w:left w:w="0" w:type="dxa"/>
            <w:bottom w:w="0" w:type="dxa"/>
            <w:right w:w="0" w:type="dxa"/>
          </w:tblCellMar>
        </w:tblPrEx>
        <w:trPr>
          <w:trHeight w:val="619" w:hRule="atLeast"/>
        </w:trPr>
        <w:tc>
          <w:tcPr>
            <w:tcW w:w="692"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27</w:t>
            </w:r>
          </w:p>
        </w:tc>
        <w:tc>
          <w:tcPr>
            <w:tcW w:w="9677"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left"/>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内蒙古自治区国家税务局内蒙古自治区地方税务局关于做好营业税改征增值税试点工作过程中税收征管衔接工作的公告</w:t>
            </w:r>
          </w:p>
        </w:tc>
        <w:tc>
          <w:tcPr>
            <w:tcW w:w="1345"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2013.07.11</w:t>
            </w:r>
          </w:p>
        </w:tc>
        <w:tc>
          <w:tcPr>
            <w:tcW w:w="2614"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内蒙古自治区国家税务局公告2013年第12号</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auto"/>
                <w:spacing w:val="0"/>
                <w:sz w:val="24"/>
                <w:szCs w:val="24"/>
                <w:u w:val="none"/>
              </w:rPr>
            </w:pPr>
          </w:p>
        </w:tc>
      </w:tr>
      <w:tr>
        <w:tblPrEx>
          <w:tblLayout w:type="fixed"/>
          <w:tblCellMar>
            <w:top w:w="0" w:type="dxa"/>
            <w:left w:w="0" w:type="dxa"/>
            <w:bottom w:w="0" w:type="dxa"/>
            <w:right w:w="0" w:type="dxa"/>
          </w:tblCellMar>
        </w:tblPrEx>
        <w:trPr>
          <w:trHeight w:val="619" w:hRule="atLeast"/>
        </w:trPr>
        <w:tc>
          <w:tcPr>
            <w:tcW w:w="692"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28</w:t>
            </w:r>
          </w:p>
        </w:tc>
        <w:tc>
          <w:tcPr>
            <w:tcW w:w="9677"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left"/>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内蒙古自治区国家税务局内蒙古自治区地方税务局关于营业税改征增值税有关普通发票事项的补充公告</w:t>
            </w:r>
          </w:p>
        </w:tc>
        <w:tc>
          <w:tcPr>
            <w:tcW w:w="1345"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2013.07.31</w:t>
            </w:r>
          </w:p>
        </w:tc>
        <w:tc>
          <w:tcPr>
            <w:tcW w:w="2614"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内蒙古自治区国家税务局公告2013年第13号</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auto"/>
                <w:spacing w:val="0"/>
                <w:sz w:val="24"/>
                <w:szCs w:val="24"/>
                <w:u w:val="none"/>
              </w:rPr>
            </w:pPr>
          </w:p>
        </w:tc>
      </w:tr>
      <w:tr>
        <w:tblPrEx>
          <w:tblLayout w:type="fixed"/>
          <w:tblCellMar>
            <w:top w:w="0" w:type="dxa"/>
            <w:left w:w="0" w:type="dxa"/>
            <w:bottom w:w="0" w:type="dxa"/>
            <w:right w:w="0" w:type="dxa"/>
          </w:tblCellMar>
        </w:tblPrEx>
        <w:trPr>
          <w:trHeight w:val="619" w:hRule="atLeast"/>
        </w:trPr>
        <w:tc>
          <w:tcPr>
            <w:tcW w:w="692"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29</w:t>
            </w:r>
          </w:p>
        </w:tc>
        <w:tc>
          <w:tcPr>
            <w:tcW w:w="9677"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left"/>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 内蒙古自治区财政厅关于扩大农产品增值税进项税额核定扣除试点行业范围的公告</w:t>
            </w:r>
          </w:p>
        </w:tc>
        <w:tc>
          <w:tcPr>
            <w:tcW w:w="1345"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2013.09.25</w:t>
            </w:r>
          </w:p>
        </w:tc>
        <w:tc>
          <w:tcPr>
            <w:tcW w:w="2614"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内蒙古自治区国家税务局公告2013年第15号</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auto"/>
                <w:spacing w:val="0"/>
                <w:sz w:val="24"/>
                <w:szCs w:val="24"/>
                <w:u w:val="none"/>
              </w:rPr>
            </w:pPr>
          </w:p>
        </w:tc>
      </w:tr>
      <w:tr>
        <w:tblPrEx>
          <w:tblLayout w:type="fixed"/>
          <w:tblCellMar>
            <w:top w:w="0" w:type="dxa"/>
            <w:left w:w="0" w:type="dxa"/>
            <w:bottom w:w="0" w:type="dxa"/>
            <w:right w:w="0" w:type="dxa"/>
          </w:tblCellMar>
        </w:tblPrEx>
        <w:trPr>
          <w:trHeight w:val="619" w:hRule="atLeast"/>
        </w:trPr>
        <w:tc>
          <w:tcPr>
            <w:tcW w:w="692"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30</w:t>
            </w:r>
          </w:p>
        </w:tc>
        <w:tc>
          <w:tcPr>
            <w:tcW w:w="9677"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left"/>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内蒙古自治区国家税务局、地方税务局关于铁路运输和邮政业营业税改征增值税试点有关普通发票事项的公告</w:t>
            </w:r>
          </w:p>
        </w:tc>
        <w:tc>
          <w:tcPr>
            <w:tcW w:w="1345"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2013.12.30</w:t>
            </w:r>
          </w:p>
        </w:tc>
        <w:tc>
          <w:tcPr>
            <w:tcW w:w="2614"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内蒙古自治区国家税务局公告2013年第17号</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auto"/>
                <w:spacing w:val="0"/>
                <w:sz w:val="24"/>
                <w:szCs w:val="24"/>
                <w:u w:val="none"/>
              </w:rPr>
            </w:pPr>
          </w:p>
        </w:tc>
      </w:tr>
      <w:tr>
        <w:tblPrEx>
          <w:tblLayout w:type="fixed"/>
          <w:tblCellMar>
            <w:top w:w="0" w:type="dxa"/>
            <w:left w:w="0" w:type="dxa"/>
            <w:bottom w:w="0" w:type="dxa"/>
            <w:right w:w="0" w:type="dxa"/>
          </w:tblCellMar>
        </w:tblPrEx>
        <w:trPr>
          <w:trHeight w:val="619" w:hRule="atLeast"/>
        </w:trPr>
        <w:tc>
          <w:tcPr>
            <w:tcW w:w="692"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31</w:t>
            </w:r>
          </w:p>
        </w:tc>
        <w:tc>
          <w:tcPr>
            <w:tcW w:w="9677"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left"/>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内蒙古自治区国家税务局、地方税务局关于做好铁路运输和邮政业营业税改征增值税试点工作过程中税收征管衔接工作的公告</w:t>
            </w:r>
          </w:p>
        </w:tc>
        <w:tc>
          <w:tcPr>
            <w:tcW w:w="1345"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2014.01.03</w:t>
            </w:r>
          </w:p>
        </w:tc>
        <w:tc>
          <w:tcPr>
            <w:tcW w:w="2614"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内蒙古自治区国家税务局公告2014年第1号</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auto"/>
                <w:spacing w:val="0"/>
                <w:sz w:val="24"/>
                <w:szCs w:val="24"/>
                <w:u w:val="none"/>
              </w:rPr>
            </w:pPr>
          </w:p>
        </w:tc>
      </w:tr>
      <w:tr>
        <w:tblPrEx>
          <w:tblLayout w:type="fixed"/>
          <w:tblCellMar>
            <w:top w:w="0" w:type="dxa"/>
            <w:left w:w="0" w:type="dxa"/>
            <w:bottom w:w="0" w:type="dxa"/>
            <w:right w:w="0" w:type="dxa"/>
          </w:tblCellMar>
        </w:tblPrEx>
        <w:trPr>
          <w:trHeight w:val="619" w:hRule="atLeast"/>
        </w:trPr>
        <w:tc>
          <w:tcPr>
            <w:tcW w:w="692"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32</w:t>
            </w:r>
          </w:p>
        </w:tc>
        <w:tc>
          <w:tcPr>
            <w:tcW w:w="9677"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left"/>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内蒙古自治区国家税务局关于公布中国邮政储蓄银行股份有限公司内蒙古自治区分行所属分支机构名单的公告</w:t>
            </w:r>
          </w:p>
        </w:tc>
        <w:tc>
          <w:tcPr>
            <w:tcW w:w="1345"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2014.02.27</w:t>
            </w:r>
          </w:p>
        </w:tc>
        <w:tc>
          <w:tcPr>
            <w:tcW w:w="2614"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内蒙古自治区国家税务局公告2014年第9号</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auto"/>
                <w:spacing w:val="0"/>
                <w:sz w:val="24"/>
                <w:szCs w:val="24"/>
                <w:u w:val="none"/>
              </w:rPr>
            </w:pPr>
          </w:p>
        </w:tc>
      </w:tr>
      <w:tr>
        <w:tblPrEx>
          <w:tblLayout w:type="fixed"/>
          <w:tblCellMar>
            <w:top w:w="0" w:type="dxa"/>
            <w:left w:w="0" w:type="dxa"/>
            <w:bottom w:w="0" w:type="dxa"/>
            <w:right w:w="0" w:type="dxa"/>
          </w:tblCellMar>
        </w:tblPrEx>
        <w:trPr>
          <w:trHeight w:val="619" w:hRule="atLeast"/>
        </w:trPr>
        <w:tc>
          <w:tcPr>
            <w:tcW w:w="692"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33</w:t>
            </w:r>
          </w:p>
        </w:tc>
        <w:tc>
          <w:tcPr>
            <w:tcW w:w="9677"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left"/>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内蒙古自治区国家税务局、地方税务局关于电信业营业税改征增值税试点有关普通发票事项的公告</w:t>
            </w:r>
          </w:p>
        </w:tc>
        <w:tc>
          <w:tcPr>
            <w:tcW w:w="1345"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2014.05.20</w:t>
            </w:r>
          </w:p>
        </w:tc>
        <w:tc>
          <w:tcPr>
            <w:tcW w:w="2614"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内蒙古自治区国家税务局公告2014年第13号</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auto"/>
                <w:spacing w:val="0"/>
                <w:sz w:val="24"/>
                <w:szCs w:val="24"/>
                <w:u w:val="none"/>
              </w:rPr>
            </w:pPr>
          </w:p>
        </w:tc>
      </w:tr>
      <w:tr>
        <w:tblPrEx>
          <w:tblLayout w:type="fixed"/>
          <w:tblCellMar>
            <w:top w:w="0" w:type="dxa"/>
            <w:left w:w="0" w:type="dxa"/>
            <w:bottom w:w="0" w:type="dxa"/>
            <w:right w:w="0" w:type="dxa"/>
          </w:tblCellMar>
        </w:tblPrEx>
        <w:trPr>
          <w:trHeight w:val="619" w:hRule="atLeast"/>
        </w:trPr>
        <w:tc>
          <w:tcPr>
            <w:tcW w:w="692"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34</w:t>
            </w:r>
          </w:p>
        </w:tc>
        <w:tc>
          <w:tcPr>
            <w:tcW w:w="9677"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left"/>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内蒙古自治区国家税务局、地方税务局关于做好电信业营业税改征增值税试点工作过程中税收征管衔接工作的公告</w:t>
            </w:r>
          </w:p>
        </w:tc>
        <w:tc>
          <w:tcPr>
            <w:tcW w:w="1345"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2014.05.20</w:t>
            </w:r>
          </w:p>
        </w:tc>
        <w:tc>
          <w:tcPr>
            <w:tcW w:w="2614"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内蒙古自治区国家税务局公告2014年第14号</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auto"/>
                <w:spacing w:val="0"/>
                <w:sz w:val="24"/>
                <w:szCs w:val="24"/>
                <w:u w:val="none"/>
              </w:rPr>
            </w:pPr>
          </w:p>
        </w:tc>
      </w:tr>
      <w:tr>
        <w:tblPrEx>
          <w:tblLayout w:type="fixed"/>
          <w:tblCellMar>
            <w:top w:w="0" w:type="dxa"/>
            <w:left w:w="0" w:type="dxa"/>
            <w:bottom w:w="0" w:type="dxa"/>
            <w:right w:w="0" w:type="dxa"/>
          </w:tblCellMar>
        </w:tblPrEx>
        <w:trPr>
          <w:trHeight w:val="619" w:hRule="atLeast"/>
        </w:trPr>
        <w:tc>
          <w:tcPr>
            <w:tcW w:w="692"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35</w:t>
            </w:r>
          </w:p>
        </w:tc>
        <w:tc>
          <w:tcPr>
            <w:tcW w:w="9677"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left"/>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 内蒙古自治区财政厅关于将生产销售货物的增值税一般纳税人全面纳入农产品增值税进项税额核定扣除试点范围的公告</w:t>
            </w:r>
          </w:p>
        </w:tc>
        <w:tc>
          <w:tcPr>
            <w:tcW w:w="1345"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2014.06.23</w:t>
            </w:r>
          </w:p>
        </w:tc>
        <w:tc>
          <w:tcPr>
            <w:tcW w:w="2614"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内蒙古自治区国家税务局公告2014年第17号</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auto"/>
                <w:spacing w:val="0"/>
                <w:sz w:val="24"/>
                <w:szCs w:val="24"/>
                <w:u w:val="none"/>
              </w:rPr>
            </w:pPr>
          </w:p>
        </w:tc>
      </w:tr>
      <w:tr>
        <w:tblPrEx>
          <w:tblLayout w:type="fixed"/>
          <w:tblCellMar>
            <w:top w:w="0" w:type="dxa"/>
            <w:left w:w="0" w:type="dxa"/>
            <w:bottom w:w="0" w:type="dxa"/>
            <w:right w:w="0" w:type="dxa"/>
          </w:tblCellMar>
        </w:tblPrEx>
        <w:trPr>
          <w:trHeight w:val="619" w:hRule="atLeast"/>
        </w:trPr>
        <w:tc>
          <w:tcPr>
            <w:tcW w:w="692"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36</w:t>
            </w:r>
          </w:p>
        </w:tc>
        <w:tc>
          <w:tcPr>
            <w:tcW w:w="9677"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left"/>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 内蒙古自治区财政厅关于核定扣除农产品增值税进项税额有关全区统一扣除标准的公告</w:t>
            </w:r>
          </w:p>
        </w:tc>
        <w:tc>
          <w:tcPr>
            <w:tcW w:w="1345"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2014.09.09</w:t>
            </w:r>
          </w:p>
        </w:tc>
        <w:tc>
          <w:tcPr>
            <w:tcW w:w="2614"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内蒙古自治区国家税务局公告2014年第19号</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auto"/>
                <w:spacing w:val="0"/>
                <w:sz w:val="24"/>
                <w:szCs w:val="24"/>
                <w:u w:val="none"/>
              </w:rPr>
            </w:pPr>
          </w:p>
        </w:tc>
      </w:tr>
      <w:tr>
        <w:tblPrEx>
          <w:tblLayout w:type="fixed"/>
          <w:tblCellMar>
            <w:top w:w="0" w:type="dxa"/>
            <w:left w:w="0" w:type="dxa"/>
            <w:bottom w:w="0" w:type="dxa"/>
            <w:right w:w="0" w:type="dxa"/>
          </w:tblCellMar>
        </w:tblPrEx>
        <w:trPr>
          <w:trHeight w:val="619" w:hRule="atLeast"/>
        </w:trPr>
        <w:tc>
          <w:tcPr>
            <w:tcW w:w="692"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37</w:t>
            </w:r>
          </w:p>
        </w:tc>
        <w:tc>
          <w:tcPr>
            <w:tcW w:w="9677"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left"/>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内蒙古自治区国家税务局内蒙古自治区地方税务局关于修订内蒙古自治区《汇总纳税企业所得税征收管理办法》的公告</w:t>
            </w:r>
          </w:p>
        </w:tc>
        <w:tc>
          <w:tcPr>
            <w:tcW w:w="1345"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2014.12.30</w:t>
            </w:r>
          </w:p>
        </w:tc>
        <w:tc>
          <w:tcPr>
            <w:tcW w:w="2614"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内蒙古自治区国家税务局公告2014年第21号</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auto"/>
                <w:spacing w:val="0"/>
                <w:sz w:val="24"/>
                <w:szCs w:val="24"/>
                <w:u w:val="none"/>
              </w:rPr>
            </w:pPr>
          </w:p>
        </w:tc>
      </w:tr>
      <w:tr>
        <w:tblPrEx>
          <w:tblLayout w:type="fixed"/>
          <w:tblCellMar>
            <w:top w:w="0" w:type="dxa"/>
            <w:left w:w="0" w:type="dxa"/>
            <w:bottom w:w="0" w:type="dxa"/>
            <w:right w:w="0" w:type="dxa"/>
          </w:tblCellMar>
        </w:tblPrEx>
        <w:trPr>
          <w:trHeight w:val="619" w:hRule="atLeast"/>
        </w:trPr>
        <w:tc>
          <w:tcPr>
            <w:tcW w:w="692"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38</w:t>
            </w:r>
          </w:p>
        </w:tc>
        <w:tc>
          <w:tcPr>
            <w:tcW w:w="9677"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left"/>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内蒙古自治区国家税务局关于委托邮政部门代征税款 代开普通发票的公告     </w:t>
            </w:r>
          </w:p>
        </w:tc>
        <w:tc>
          <w:tcPr>
            <w:tcW w:w="1345"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2015.07.09</w:t>
            </w:r>
          </w:p>
        </w:tc>
        <w:tc>
          <w:tcPr>
            <w:tcW w:w="2614"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内蒙古自治区国家税务局公告2015年第5号</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auto"/>
                <w:spacing w:val="0"/>
                <w:sz w:val="24"/>
                <w:szCs w:val="24"/>
                <w:u w:val="none"/>
              </w:rPr>
            </w:pPr>
          </w:p>
        </w:tc>
      </w:tr>
      <w:tr>
        <w:tblPrEx>
          <w:tblLayout w:type="fixed"/>
          <w:tblCellMar>
            <w:top w:w="0" w:type="dxa"/>
            <w:left w:w="0" w:type="dxa"/>
            <w:bottom w:w="0" w:type="dxa"/>
            <w:right w:w="0" w:type="dxa"/>
          </w:tblCellMar>
        </w:tblPrEx>
        <w:trPr>
          <w:trHeight w:val="619" w:hRule="atLeast"/>
        </w:trPr>
        <w:tc>
          <w:tcPr>
            <w:tcW w:w="692"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39</w:t>
            </w:r>
          </w:p>
        </w:tc>
        <w:tc>
          <w:tcPr>
            <w:tcW w:w="9677"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left"/>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内蒙古自治区国家税务局关于清理进户执法项目的公告</w:t>
            </w:r>
          </w:p>
        </w:tc>
        <w:tc>
          <w:tcPr>
            <w:tcW w:w="1345"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2015.10.10</w:t>
            </w:r>
          </w:p>
        </w:tc>
        <w:tc>
          <w:tcPr>
            <w:tcW w:w="2614"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内蒙古自治区国家税务局公告2015年第9号</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auto"/>
                <w:spacing w:val="0"/>
                <w:sz w:val="24"/>
                <w:szCs w:val="24"/>
                <w:u w:val="none"/>
              </w:rPr>
            </w:pPr>
          </w:p>
        </w:tc>
      </w:tr>
      <w:tr>
        <w:tblPrEx>
          <w:tblLayout w:type="fixed"/>
          <w:tblCellMar>
            <w:top w:w="0" w:type="dxa"/>
            <w:left w:w="0" w:type="dxa"/>
            <w:bottom w:w="0" w:type="dxa"/>
            <w:right w:w="0" w:type="dxa"/>
          </w:tblCellMar>
        </w:tblPrEx>
        <w:trPr>
          <w:trHeight w:val="619" w:hRule="atLeast"/>
        </w:trPr>
        <w:tc>
          <w:tcPr>
            <w:tcW w:w="692"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40</w:t>
            </w:r>
          </w:p>
        </w:tc>
        <w:tc>
          <w:tcPr>
            <w:tcW w:w="9677"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left"/>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 内蒙古自治区地方税务局关于发布《企业清算所得税管理办法（试行）》的公告</w:t>
            </w:r>
          </w:p>
        </w:tc>
        <w:tc>
          <w:tcPr>
            <w:tcW w:w="1345"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2015.11.16</w:t>
            </w:r>
          </w:p>
        </w:tc>
        <w:tc>
          <w:tcPr>
            <w:tcW w:w="2614"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内蒙古自治区国家税务局公告2015年第10号</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auto"/>
                <w:spacing w:val="0"/>
                <w:sz w:val="24"/>
                <w:szCs w:val="24"/>
                <w:u w:val="none"/>
              </w:rPr>
            </w:pPr>
          </w:p>
        </w:tc>
      </w:tr>
      <w:tr>
        <w:tblPrEx>
          <w:tblLayout w:type="fixed"/>
          <w:tblCellMar>
            <w:top w:w="0" w:type="dxa"/>
            <w:left w:w="0" w:type="dxa"/>
            <w:bottom w:w="0" w:type="dxa"/>
            <w:right w:w="0" w:type="dxa"/>
          </w:tblCellMar>
        </w:tblPrEx>
        <w:trPr>
          <w:trHeight w:val="619" w:hRule="atLeast"/>
        </w:trPr>
        <w:tc>
          <w:tcPr>
            <w:tcW w:w="692"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41</w:t>
            </w:r>
          </w:p>
        </w:tc>
        <w:tc>
          <w:tcPr>
            <w:tcW w:w="9677"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left"/>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 内蒙古自治区地方税务局全面推开营业税改征增值税试点工作普通发票有关事项的公告</w:t>
            </w:r>
          </w:p>
        </w:tc>
        <w:tc>
          <w:tcPr>
            <w:tcW w:w="1345"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2016.04.28</w:t>
            </w:r>
          </w:p>
        </w:tc>
        <w:tc>
          <w:tcPr>
            <w:tcW w:w="2614"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内蒙古自治区国家税务局公告2016年第4号</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auto"/>
                <w:spacing w:val="0"/>
                <w:sz w:val="24"/>
                <w:szCs w:val="24"/>
                <w:u w:val="none"/>
              </w:rPr>
            </w:pPr>
          </w:p>
        </w:tc>
      </w:tr>
      <w:tr>
        <w:tblPrEx>
          <w:tblLayout w:type="fixed"/>
          <w:tblCellMar>
            <w:top w:w="0" w:type="dxa"/>
            <w:left w:w="0" w:type="dxa"/>
            <w:bottom w:w="0" w:type="dxa"/>
            <w:right w:w="0" w:type="dxa"/>
          </w:tblCellMar>
        </w:tblPrEx>
        <w:trPr>
          <w:trHeight w:val="619" w:hRule="atLeast"/>
        </w:trPr>
        <w:tc>
          <w:tcPr>
            <w:tcW w:w="692"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42</w:t>
            </w:r>
          </w:p>
        </w:tc>
        <w:tc>
          <w:tcPr>
            <w:tcW w:w="9677"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left"/>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内蒙古自治区国家税务局内蒙古自治区地方税务局关于做好全面推行营业税改征增值税试点工作过程中税收征管衔接工作的公告</w:t>
            </w:r>
          </w:p>
        </w:tc>
        <w:tc>
          <w:tcPr>
            <w:tcW w:w="1345"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2016.04.28</w:t>
            </w:r>
          </w:p>
        </w:tc>
        <w:tc>
          <w:tcPr>
            <w:tcW w:w="2614"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内蒙古自治区国家税务局公告2016年第3号</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auto"/>
                <w:spacing w:val="0"/>
                <w:sz w:val="24"/>
                <w:szCs w:val="24"/>
                <w:u w:val="none"/>
              </w:rPr>
            </w:pPr>
          </w:p>
        </w:tc>
      </w:tr>
      <w:tr>
        <w:tblPrEx>
          <w:tblLayout w:type="fixed"/>
          <w:tblCellMar>
            <w:top w:w="0" w:type="dxa"/>
            <w:left w:w="0" w:type="dxa"/>
            <w:bottom w:w="0" w:type="dxa"/>
            <w:right w:w="0" w:type="dxa"/>
          </w:tblCellMar>
        </w:tblPrEx>
        <w:trPr>
          <w:trHeight w:val="619" w:hRule="atLeast"/>
        </w:trPr>
        <w:tc>
          <w:tcPr>
            <w:tcW w:w="692"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43</w:t>
            </w:r>
          </w:p>
        </w:tc>
        <w:tc>
          <w:tcPr>
            <w:tcW w:w="9677"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left"/>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 内蒙古自治区地方税务局关于进一步规范企业所得税核定征收管理工作公告</w:t>
            </w:r>
          </w:p>
        </w:tc>
        <w:tc>
          <w:tcPr>
            <w:tcW w:w="1345"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2016.05.12</w:t>
            </w:r>
          </w:p>
        </w:tc>
        <w:tc>
          <w:tcPr>
            <w:tcW w:w="2614"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内蒙古自治区国家税务局公告2016年第5号</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auto"/>
                <w:spacing w:val="0"/>
                <w:sz w:val="24"/>
                <w:szCs w:val="24"/>
                <w:u w:val="none"/>
              </w:rPr>
            </w:pPr>
          </w:p>
        </w:tc>
      </w:tr>
      <w:tr>
        <w:tblPrEx>
          <w:tblLayout w:type="fixed"/>
          <w:tblCellMar>
            <w:top w:w="0" w:type="dxa"/>
            <w:left w:w="0" w:type="dxa"/>
            <w:bottom w:w="0" w:type="dxa"/>
            <w:right w:w="0" w:type="dxa"/>
          </w:tblCellMar>
        </w:tblPrEx>
        <w:trPr>
          <w:trHeight w:val="619" w:hRule="atLeast"/>
        </w:trPr>
        <w:tc>
          <w:tcPr>
            <w:tcW w:w="692"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44</w:t>
            </w:r>
          </w:p>
        </w:tc>
        <w:tc>
          <w:tcPr>
            <w:tcW w:w="9677"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left"/>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 地方税务局关于进一步明确营改增试点工作税收征管及国地税发票衔接有关事项的公告</w:t>
            </w:r>
          </w:p>
        </w:tc>
        <w:tc>
          <w:tcPr>
            <w:tcW w:w="1345"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2016.05.23</w:t>
            </w:r>
          </w:p>
        </w:tc>
        <w:tc>
          <w:tcPr>
            <w:tcW w:w="2614"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内蒙古自治区国家税务局公告2016年第6号</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auto"/>
                <w:spacing w:val="0"/>
                <w:sz w:val="24"/>
                <w:szCs w:val="24"/>
                <w:u w:val="none"/>
              </w:rPr>
            </w:pPr>
          </w:p>
        </w:tc>
      </w:tr>
      <w:tr>
        <w:tblPrEx>
          <w:tblLayout w:type="fixed"/>
          <w:tblCellMar>
            <w:top w:w="0" w:type="dxa"/>
            <w:left w:w="0" w:type="dxa"/>
            <w:bottom w:w="0" w:type="dxa"/>
            <w:right w:w="0" w:type="dxa"/>
          </w:tblCellMar>
        </w:tblPrEx>
        <w:trPr>
          <w:trHeight w:val="619" w:hRule="atLeast"/>
        </w:trPr>
        <w:tc>
          <w:tcPr>
            <w:tcW w:w="692"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45</w:t>
            </w:r>
          </w:p>
        </w:tc>
        <w:tc>
          <w:tcPr>
            <w:tcW w:w="9677"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left"/>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内蒙古自治区家税务局 内蒙古自治区财政厅关于金融业总分机构试点纳税人汇总缴纳增值税的公告</w:t>
            </w:r>
          </w:p>
        </w:tc>
        <w:tc>
          <w:tcPr>
            <w:tcW w:w="1345"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2016.05.24</w:t>
            </w:r>
          </w:p>
        </w:tc>
        <w:tc>
          <w:tcPr>
            <w:tcW w:w="2614"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内蒙古自治区国家税务局公告2016年第7号</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auto"/>
                <w:spacing w:val="0"/>
                <w:sz w:val="24"/>
                <w:szCs w:val="24"/>
                <w:u w:val="none"/>
              </w:rPr>
            </w:pPr>
          </w:p>
        </w:tc>
      </w:tr>
      <w:tr>
        <w:tblPrEx>
          <w:tblLayout w:type="fixed"/>
          <w:tblCellMar>
            <w:top w:w="0" w:type="dxa"/>
            <w:left w:w="0" w:type="dxa"/>
            <w:bottom w:w="0" w:type="dxa"/>
            <w:right w:w="0" w:type="dxa"/>
          </w:tblCellMar>
        </w:tblPrEx>
        <w:trPr>
          <w:trHeight w:val="619" w:hRule="atLeast"/>
        </w:trPr>
        <w:tc>
          <w:tcPr>
            <w:tcW w:w="692"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46</w:t>
            </w:r>
          </w:p>
        </w:tc>
        <w:tc>
          <w:tcPr>
            <w:tcW w:w="9677"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left"/>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内蒙古自治区国家税务局关于办税事项自治区内通办的公告</w:t>
            </w:r>
          </w:p>
        </w:tc>
        <w:tc>
          <w:tcPr>
            <w:tcW w:w="1345"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2016.08.25</w:t>
            </w:r>
          </w:p>
        </w:tc>
        <w:tc>
          <w:tcPr>
            <w:tcW w:w="2614"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内蒙古自治区国家税务局公告2016年第12号</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auto"/>
                <w:spacing w:val="0"/>
                <w:sz w:val="24"/>
                <w:szCs w:val="24"/>
                <w:u w:val="none"/>
              </w:rPr>
            </w:pPr>
          </w:p>
        </w:tc>
      </w:tr>
      <w:tr>
        <w:tblPrEx>
          <w:tblLayout w:type="fixed"/>
          <w:tblCellMar>
            <w:top w:w="0" w:type="dxa"/>
            <w:left w:w="0" w:type="dxa"/>
            <w:bottom w:w="0" w:type="dxa"/>
            <w:right w:w="0" w:type="dxa"/>
          </w:tblCellMar>
        </w:tblPrEx>
        <w:trPr>
          <w:trHeight w:val="619" w:hRule="atLeast"/>
        </w:trPr>
        <w:tc>
          <w:tcPr>
            <w:tcW w:w="692"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47</w:t>
            </w:r>
          </w:p>
        </w:tc>
        <w:tc>
          <w:tcPr>
            <w:tcW w:w="9677"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left"/>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 内蒙古自治区地方税务局关于发布企业所得税核定征收应税所得率的公告</w:t>
            </w:r>
          </w:p>
        </w:tc>
        <w:tc>
          <w:tcPr>
            <w:tcW w:w="1345"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2016.08.25</w:t>
            </w:r>
          </w:p>
        </w:tc>
        <w:tc>
          <w:tcPr>
            <w:tcW w:w="2614"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内蒙古自治区国家税务局公告2016年第13号</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auto"/>
                <w:spacing w:val="0"/>
                <w:sz w:val="24"/>
                <w:szCs w:val="24"/>
                <w:u w:val="none"/>
              </w:rPr>
            </w:pPr>
          </w:p>
        </w:tc>
      </w:tr>
      <w:tr>
        <w:tblPrEx>
          <w:tblLayout w:type="fixed"/>
          <w:tblCellMar>
            <w:top w:w="0" w:type="dxa"/>
            <w:left w:w="0" w:type="dxa"/>
            <w:bottom w:w="0" w:type="dxa"/>
            <w:right w:w="0" w:type="dxa"/>
          </w:tblCellMar>
        </w:tblPrEx>
        <w:trPr>
          <w:trHeight w:val="619" w:hRule="atLeast"/>
        </w:trPr>
        <w:tc>
          <w:tcPr>
            <w:tcW w:w="692"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lang w:val="en-US" w:eastAsia="zh-CN" w:bidi="ar"/>
              </w:rPr>
              <w:t>48</w:t>
            </w:r>
          </w:p>
        </w:tc>
        <w:tc>
          <w:tcPr>
            <w:tcW w:w="9677"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left"/>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 内蒙古自治区地方税务局关于发布《注销清税申报管理办法（试行）》的公告</w:t>
            </w:r>
          </w:p>
        </w:tc>
        <w:tc>
          <w:tcPr>
            <w:tcW w:w="1345"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2016.11.01</w:t>
            </w:r>
          </w:p>
        </w:tc>
        <w:tc>
          <w:tcPr>
            <w:tcW w:w="2614"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50" w:lineRule="atLeast"/>
              <w:ind w:left="0" w:right="0" w:firstLine="0"/>
              <w:jc w:val="center"/>
              <w:textAlignment w:val="center"/>
              <w:rPr>
                <w:rFonts w:hint="eastAsia" w:ascii="宋体" w:hAnsi="宋体" w:eastAsia="宋体" w:cs="宋体"/>
                <w:i w:val="0"/>
                <w:caps w:val="0"/>
                <w:color w:val="auto"/>
                <w:spacing w:val="0"/>
                <w:sz w:val="20"/>
                <w:szCs w:val="20"/>
                <w:u w:val="none"/>
              </w:rPr>
            </w:pPr>
            <w:r>
              <w:rPr>
                <w:rFonts w:hint="eastAsia" w:ascii="宋体" w:hAnsi="宋体" w:eastAsia="宋体" w:cs="宋体"/>
                <w:i w:val="0"/>
                <w:caps w:val="0"/>
                <w:color w:val="auto"/>
                <w:spacing w:val="0"/>
                <w:kern w:val="0"/>
                <w:sz w:val="20"/>
                <w:szCs w:val="20"/>
                <w:u w:val="none"/>
                <w:lang w:val="en-US" w:eastAsia="zh-CN" w:bidi="ar"/>
              </w:rPr>
              <w:t>内蒙古自治区国家税务局公告2016年17号 </w:t>
            </w: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auto"/>
                <w:spacing w:val="0"/>
                <w:sz w:val="24"/>
                <w:szCs w:val="24"/>
                <w:u w:val="none"/>
              </w:rPr>
            </w:pPr>
          </w:p>
        </w:tc>
      </w:tr>
      <w:tr>
        <w:tblPrEx>
          <w:tblLayout w:type="fixed"/>
          <w:tblCellMar>
            <w:top w:w="0" w:type="dxa"/>
            <w:left w:w="0" w:type="dxa"/>
            <w:bottom w:w="0" w:type="dxa"/>
            <w:right w:w="0" w:type="dxa"/>
          </w:tblCellMar>
        </w:tblPrEx>
        <w:trPr>
          <w:trHeight w:val="619" w:hRule="atLeast"/>
        </w:trPr>
        <w:tc>
          <w:tcPr>
            <w:tcW w:w="692"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auto"/>
                <w:spacing w:val="0"/>
                <w:sz w:val="24"/>
                <w:szCs w:val="24"/>
                <w:u w:val="none"/>
              </w:rPr>
            </w:pPr>
          </w:p>
        </w:tc>
        <w:tc>
          <w:tcPr>
            <w:tcW w:w="9677"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aps w:val="0"/>
                <w:color w:val="auto"/>
                <w:spacing w:val="0"/>
                <w:sz w:val="24"/>
                <w:szCs w:val="24"/>
                <w:u w:val="none"/>
              </w:rPr>
            </w:pPr>
          </w:p>
        </w:tc>
        <w:tc>
          <w:tcPr>
            <w:tcW w:w="1345"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auto"/>
                <w:spacing w:val="0"/>
                <w:sz w:val="24"/>
                <w:szCs w:val="24"/>
                <w:u w:val="none"/>
              </w:rPr>
            </w:pPr>
          </w:p>
        </w:tc>
        <w:tc>
          <w:tcPr>
            <w:tcW w:w="2614"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auto"/>
                <w:spacing w:val="0"/>
                <w:sz w:val="24"/>
                <w:szCs w:val="24"/>
                <w:u w:val="none"/>
              </w:rPr>
            </w:pPr>
          </w:p>
        </w:tc>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aps w:val="0"/>
                <w:color w:val="auto"/>
                <w:spacing w:val="0"/>
                <w:sz w:val="24"/>
                <w:szCs w:val="24"/>
                <w:u w:val="none"/>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6C16AB"/>
    <w:rsid w:val="152E595F"/>
    <w:rsid w:val="636C16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2017-10-11T02:18:00Z</dcterms:created>
  <dc:creator>win7</dc:creator>
  <cp:lastModifiedBy>win7</cp:lastModifiedBy>
  <dcterms:modified xsi:type="dcterms:W3CDTF">2019-10-11T06:38:03Z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