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eastAsia="黑体"/>
          <w:bCs/>
          <w:sz w:val="32"/>
          <w:szCs w:val="32"/>
          <w:lang w:val="zh-CN"/>
        </w:rPr>
      </w:pPr>
      <w:r>
        <w:rPr>
          <w:rFonts w:hAnsi="黑体" w:eastAsia="黑体"/>
          <w:bCs/>
          <w:sz w:val="32"/>
          <w:szCs w:val="32"/>
          <w:lang w:val="zh-CN"/>
        </w:rPr>
        <w:t>附件</w:t>
      </w:r>
      <w:r>
        <w:rPr>
          <w:rFonts w:eastAsia="黑体"/>
          <w:bCs/>
          <w:sz w:val="32"/>
          <w:szCs w:val="32"/>
          <w:lang w:val="zh-CN"/>
        </w:rPr>
        <w:t>2</w:t>
      </w:r>
    </w:p>
    <w:p>
      <w:pPr>
        <w:autoSpaceDE w:val="0"/>
        <w:autoSpaceDN w:val="0"/>
        <w:adjustRightInd w:val="0"/>
        <w:spacing w:line="560" w:lineRule="exact"/>
        <w:rPr>
          <w:rFonts w:eastAsia="黑体"/>
          <w:bCs/>
          <w:sz w:val="32"/>
          <w:szCs w:val="32"/>
          <w:lang w:val="zh-CN"/>
        </w:rPr>
      </w:pPr>
    </w:p>
    <w:p>
      <w:pPr>
        <w:snapToGrid w:val="0"/>
        <w:spacing w:line="240" w:lineRule="atLeast"/>
        <w:jc w:val="center"/>
        <w:rPr>
          <w:rFonts w:eastAsia="华文中宋"/>
          <w:b/>
          <w:sz w:val="42"/>
          <w:szCs w:val="42"/>
          <w:lang w:val="zh-CN"/>
        </w:rPr>
      </w:pPr>
      <w:bookmarkStart w:id="0" w:name="_GoBack"/>
      <w:r>
        <w:rPr>
          <w:rFonts w:hAnsi="华文中宋" w:eastAsia="华文中宋"/>
          <w:b/>
          <w:sz w:val="42"/>
          <w:szCs w:val="42"/>
          <w:lang w:val="zh-CN"/>
        </w:rPr>
        <w:t>第</w:t>
      </w:r>
      <w:r>
        <w:rPr>
          <w:rFonts w:eastAsia="华文中宋"/>
          <w:b/>
          <w:sz w:val="42"/>
          <w:szCs w:val="42"/>
          <w:lang w:val="zh-CN"/>
        </w:rPr>
        <w:t>45</w:t>
      </w:r>
      <w:r>
        <w:rPr>
          <w:rFonts w:hAnsi="华文中宋" w:eastAsia="华文中宋"/>
          <w:b/>
          <w:sz w:val="42"/>
          <w:szCs w:val="42"/>
          <w:lang w:val="zh-CN"/>
        </w:rPr>
        <w:t>届世界技能大赛集训框架方案</w:t>
      </w:r>
    </w:p>
    <w:bookmarkEnd w:id="0"/>
    <w:p>
      <w:pPr>
        <w:snapToGrid w:val="0"/>
        <w:spacing w:line="240" w:lineRule="atLeast"/>
        <w:jc w:val="center"/>
        <w:rPr>
          <w:rFonts w:hint="eastAsia" w:hAnsi="楷体_GB2312" w:eastAsia="楷体_GB2312"/>
          <w:sz w:val="32"/>
          <w:szCs w:val="32"/>
          <w:lang w:val="zh-CN"/>
        </w:rPr>
      </w:pPr>
      <w:r>
        <w:rPr>
          <w:rFonts w:hAnsi="楷体_GB2312" w:eastAsia="楷体_GB2312"/>
          <w:sz w:val="32"/>
          <w:szCs w:val="32"/>
          <w:lang w:val="zh-CN"/>
        </w:rPr>
        <w:t>（参考模板）</w:t>
      </w:r>
    </w:p>
    <w:p>
      <w:pPr>
        <w:snapToGrid w:val="0"/>
        <w:spacing w:line="240" w:lineRule="atLeast"/>
        <w:jc w:val="center"/>
        <w:rPr>
          <w:rFonts w:eastAsia="楷体_GB2312"/>
          <w:sz w:val="32"/>
          <w:szCs w:val="32"/>
        </w:rPr>
      </w:pPr>
    </w:p>
    <w:p>
      <w:pPr>
        <w:spacing w:line="560" w:lineRule="exact"/>
        <w:ind w:firstLine="684" w:firstLineChars="214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</w:t>
      </w:r>
      <w:r>
        <w:rPr>
          <w:rFonts w:hint="eastAsia" w:hAnsi="黑体" w:eastAsia="黑体"/>
          <w:sz w:val="32"/>
          <w:szCs w:val="32"/>
        </w:rPr>
        <w:t>集训</w:t>
      </w:r>
      <w:r>
        <w:rPr>
          <w:rFonts w:hAnsi="黑体" w:eastAsia="黑体"/>
          <w:sz w:val="32"/>
          <w:szCs w:val="32"/>
        </w:rPr>
        <w:t>目标</w:t>
      </w:r>
    </w:p>
    <w:p>
      <w:pPr>
        <w:spacing w:line="560" w:lineRule="exact"/>
        <w:ind w:firstLine="684" w:firstLineChars="21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通过集训，使选手特别是参赛选手在技能水平、综合素质等方面达到的水平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84" w:firstLineChars="21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通过对参赛优势和问题的分析，对选手参赛成绩的预测（如：“通过集训力争使参赛选手获得第4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届世界技能大赛</w:t>
      </w:r>
      <w:r>
        <w:rPr>
          <w:rFonts w:ascii="仿宋_GB2312"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奖牌和</w:t>
      </w:r>
      <w:r>
        <w:rPr>
          <w:rFonts w:ascii="仿宋_GB2312"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成绩”）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84" w:firstLineChars="214"/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</w:t>
      </w:r>
      <w:r>
        <w:rPr>
          <w:rFonts w:hint="eastAsia" w:hAnsi="黑体" w:eastAsia="黑体"/>
          <w:sz w:val="32"/>
          <w:szCs w:val="32"/>
        </w:rPr>
        <w:t>各方职责</w:t>
      </w:r>
    </w:p>
    <w:p>
      <w:pPr>
        <w:adjustRightInd w:val="0"/>
        <w:snapToGrid w:val="0"/>
        <w:spacing w:line="560" w:lineRule="exact"/>
        <w:ind w:firstLine="684" w:firstLineChars="21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集训主管部门职责分工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责任人</w:t>
      </w:r>
      <w:r>
        <w:rPr>
          <w:rFonts w:hint="eastAsia" w:eastAsia="仿宋_GB2312"/>
          <w:sz w:val="32"/>
          <w:szCs w:val="32"/>
          <w:lang w:eastAsia="zh-CN"/>
        </w:rPr>
        <w:t>、联络员及联系方式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84" w:firstLineChars="21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集训基地。如本项目共有</w:t>
      </w:r>
      <w:r>
        <w:rPr>
          <w:rFonts w:ascii="仿宋_GB2312"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个集训基地，</w:t>
      </w:r>
      <w:r>
        <w:rPr>
          <w:rFonts w:ascii="仿宋_GB2312"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为牵头基地；牵头基地承担任务（包括：集训设备购置、日常训练、强化训练、第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次阶段性考核</w:t>
      </w:r>
      <w:r>
        <w:rPr>
          <w:rFonts w:hint="eastAsia" w:eastAsia="仿宋_GB2312"/>
          <w:sz w:val="32"/>
          <w:szCs w:val="32"/>
        </w:rPr>
        <w:t>、第</w:t>
      </w:r>
      <w:r>
        <w:rPr>
          <w:rFonts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轮考核</w:t>
      </w:r>
      <w:r>
        <w:rPr>
          <w:rFonts w:eastAsia="仿宋_GB2312"/>
          <w:sz w:val="32"/>
          <w:szCs w:val="32"/>
        </w:rPr>
        <w:t>等）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其他基地承担任务（包括：辅助性训练、第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次阶段性考核</w:t>
      </w:r>
      <w:r>
        <w:rPr>
          <w:rFonts w:hint="eastAsia" w:eastAsia="仿宋_GB2312"/>
          <w:sz w:val="32"/>
          <w:szCs w:val="32"/>
        </w:rPr>
        <w:t>、第</w:t>
      </w:r>
      <w:r>
        <w:rPr>
          <w:rFonts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轮考核</w:t>
      </w:r>
      <w:r>
        <w:rPr>
          <w:rFonts w:eastAsia="仿宋_GB2312"/>
          <w:sz w:val="32"/>
          <w:szCs w:val="32"/>
        </w:rPr>
        <w:t>等）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各集训基地联络员及联系方式。</w:t>
      </w:r>
    </w:p>
    <w:p>
      <w:pPr>
        <w:adjustRightInd w:val="0"/>
        <w:snapToGrid w:val="0"/>
        <w:spacing w:line="560" w:lineRule="exact"/>
        <w:ind w:firstLine="684" w:firstLineChars="21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专家组分工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84" w:firstLineChars="21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其他相关方面分工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责任人</w:t>
      </w:r>
      <w:r>
        <w:rPr>
          <w:rFonts w:hint="eastAsia" w:eastAsia="仿宋_GB2312"/>
          <w:sz w:val="32"/>
          <w:szCs w:val="32"/>
          <w:lang w:eastAsia="zh-CN"/>
        </w:rPr>
        <w:t>、选手领队及联系方式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84" w:firstLineChars="214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三、集训时间</w:t>
      </w:r>
      <w:r>
        <w:rPr>
          <w:rFonts w:hint="eastAsia" w:hAnsi="黑体" w:eastAsia="黑体"/>
          <w:sz w:val="32"/>
          <w:szCs w:val="32"/>
        </w:rPr>
        <w:t>、</w:t>
      </w:r>
      <w:r>
        <w:rPr>
          <w:rFonts w:hAnsi="黑体" w:eastAsia="黑体"/>
          <w:sz w:val="32"/>
          <w:szCs w:val="32"/>
        </w:rPr>
        <w:t>内容和形式等安排</w:t>
      </w:r>
    </w:p>
    <w:p>
      <w:pPr>
        <w:spacing w:line="560" w:lineRule="exact"/>
        <w:ind w:firstLine="684" w:firstLineChars="21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日常训练的基本时间、内容和主要形式安排（训练的起止时间节点；训练内容基本安排，如：技能训练、综合素质训练等；基本训练</w:t>
      </w:r>
      <w:r>
        <w:rPr>
          <w:rFonts w:hint="eastAsia" w:eastAsia="仿宋_GB2312"/>
          <w:sz w:val="32"/>
          <w:szCs w:val="32"/>
        </w:rPr>
        <w:t>形式</w:t>
      </w:r>
      <w:r>
        <w:rPr>
          <w:rFonts w:eastAsia="仿宋_GB2312"/>
          <w:sz w:val="32"/>
          <w:szCs w:val="32"/>
        </w:rPr>
        <w:t>，如：集中训练、走训等）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84" w:firstLineChars="21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第一次阶段性考核具体安排（此部分具体内容</w:t>
      </w:r>
      <w:r>
        <w:rPr>
          <w:rFonts w:hint="eastAsia" w:eastAsia="仿宋_GB2312"/>
          <w:sz w:val="32"/>
          <w:szCs w:val="32"/>
        </w:rPr>
        <w:t>按照本《指导意见》第十六条“第一次阶段性考核工作</w:t>
      </w:r>
      <w:r>
        <w:rPr>
          <w:rFonts w:eastAsia="仿宋_GB2312"/>
          <w:sz w:val="32"/>
          <w:szCs w:val="32"/>
        </w:rPr>
        <w:t>方案</w:t>
      </w:r>
      <w:r>
        <w:rPr>
          <w:rFonts w:hint="eastAsia" w:eastAsia="仿宋_GB2312"/>
          <w:sz w:val="32"/>
          <w:szCs w:val="32"/>
        </w:rPr>
        <w:t>”要求撰写。其中，</w:t>
      </w:r>
      <w:r>
        <w:rPr>
          <w:rFonts w:eastAsia="仿宋_GB2312"/>
          <w:sz w:val="32"/>
          <w:szCs w:val="32"/>
        </w:rPr>
        <w:t>务必将考核轮次及各轮次成绩权重</w:t>
      </w:r>
      <w:r>
        <w:rPr>
          <w:rFonts w:hint="eastAsia" w:eastAsia="仿宋_GB2312"/>
          <w:sz w:val="32"/>
          <w:szCs w:val="32"/>
        </w:rPr>
        <w:t>明确。所明确的考核轮次、成绩权重等内容原则上不得改动，确需修改应征得各参与方同意且经考核领导小组审定，并报中国组委会备案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84" w:firstLineChars="21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第二次阶段性考核是否增加考核轮次，具体轮次数量、成绩比重等安排。</w:t>
      </w:r>
    </w:p>
    <w:p>
      <w:pPr>
        <w:spacing w:line="560" w:lineRule="exact"/>
        <w:ind w:firstLine="684" w:firstLineChars="21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强化训</w:t>
      </w:r>
      <w:r>
        <w:rPr>
          <w:rFonts w:hint="eastAsia" w:eastAsia="仿宋_GB2312"/>
          <w:sz w:val="32"/>
          <w:szCs w:val="32"/>
          <w:lang w:eastAsia="zh-CN"/>
        </w:rPr>
        <w:t>练</w:t>
      </w:r>
      <w:r>
        <w:rPr>
          <w:rFonts w:eastAsia="仿宋_GB2312"/>
          <w:sz w:val="32"/>
          <w:szCs w:val="32"/>
        </w:rPr>
        <w:t>的时间、内容及形式安排（强化训</w:t>
      </w:r>
      <w:r>
        <w:rPr>
          <w:rFonts w:hint="eastAsia" w:eastAsia="仿宋_GB2312"/>
          <w:sz w:val="32"/>
          <w:szCs w:val="32"/>
          <w:lang w:eastAsia="zh-CN"/>
        </w:rPr>
        <w:t>练</w:t>
      </w:r>
      <w:r>
        <w:rPr>
          <w:rFonts w:eastAsia="仿宋_GB2312"/>
          <w:sz w:val="32"/>
          <w:szCs w:val="32"/>
        </w:rPr>
        <w:t>起止时间、基本内容和形式安排）</w:t>
      </w:r>
      <w:r>
        <w:rPr>
          <w:rFonts w:hint="eastAsia" w:eastAsia="仿宋_GB2312"/>
          <w:sz w:val="32"/>
          <w:szCs w:val="32"/>
        </w:rPr>
        <w:t>。</w:t>
      </w:r>
    </w:p>
    <w:p>
      <w:pPr>
        <w:numPr>
          <w:ilvl w:val="0"/>
          <w:numId w:val="1"/>
          <w:numberingChange w:id="0" w:author="微软中国" w:date="2018-09-05T13:28:00Z" w:original="%1:4:37:、"/>
        </w:numPr>
        <w:spacing w:line="560" w:lineRule="exact"/>
        <w:ind w:firstLine="684" w:firstLineChars="214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技术支持。</w:t>
      </w:r>
    </w:p>
    <w:p>
      <w:pPr>
        <w:numPr>
          <w:ilvl w:val="0"/>
          <w:numId w:val="0"/>
        </w:numPr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集训期间涉及企业及其他社会机构赞助的相关安排、措施及政策依据；技术支持保障等人员的具体安排等。</w:t>
      </w:r>
    </w:p>
    <w:p>
      <w:pPr>
        <w:spacing w:line="560" w:lineRule="exact"/>
        <w:ind w:firstLine="684" w:firstLineChars="214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五、其他（如相关要求等）</w:t>
      </w:r>
    </w:p>
    <w:p>
      <w:pPr>
        <w:spacing w:line="560" w:lineRule="exact"/>
        <w:ind w:firstLine="684" w:firstLineChars="21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对选手及其随行教练在集训期间提出的纪律要求（如：训练作息时间要求等）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5"/>
        <w:spacing w:line="560" w:lineRule="exact"/>
        <w:ind w:firstLine="64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2240" w:h="15840"/>
          <w:pgMar w:top="1440" w:right="1701" w:bottom="1440" w:left="1701" w:header="720" w:footer="720" w:gutter="0"/>
          <w:pgNumType w:fmt="decimal" w:start="1"/>
          <w:cols w:space="720" w:num="1"/>
          <w:docGrid w:type="linesAndChars" w:linePitch="312" w:charSpace="0"/>
        </w:sect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对技术指导专家组成员在集训期间提出的纪律要求</w:t>
      </w:r>
      <w:r>
        <w:rPr>
          <w:rFonts w:hint="eastAsia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中国">
    <w15:presenceInfo w15:providerId="None" w15:userId="微软中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0D3C"/>
    <w:rsid w:val="5301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  <w:style w:type="character" w:customStyle="1" w:styleId="6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2018-10-16T07:20:00Z</dcterms:created>
  <dc:creator>user</dc:creator>
  <cp:lastModifiedBy>user</cp:lastModifiedBy>
  <dcterms:modified xsi:type="dcterms:W3CDTF">2018-10-16T07:20:51Z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