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黑体"/>
          <w:bCs/>
          <w:sz w:val="32"/>
          <w:szCs w:val="32"/>
          <w:lang w:val="zh-CN"/>
        </w:rPr>
      </w:pPr>
      <w:r>
        <w:rPr>
          <w:rFonts w:hAnsi="黑体" w:eastAsia="黑体"/>
          <w:bCs/>
          <w:sz w:val="32"/>
          <w:szCs w:val="32"/>
          <w:lang w:val="zh-CN"/>
        </w:rPr>
        <w:t>附件</w:t>
      </w:r>
      <w:r>
        <w:rPr>
          <w:rFonts w:hint="eastAsia" w:eastAsia="黑体"/>
          <w:bCs/>
          <w:sz w:val="32"/>
          <w:szCs w:val="32"/>
          <w:lang w:val="zh-CN"/>
        </w:rPr>
        <w:t>3</w:t>
      </w:r>
    </w:p>
    <w:p>
      <w:pPr>
        <w:autoSpaceDE w:val="0"/>
        <w:autoSpaceDN w:val="0"/>
        <w:adjustRightInd w:val="0"/>
        <w:rPr>
          <w:rFonts w:hint="eastAsia" w:eastAsia="黑体"/>
          <w:bCs/>
          <w:sz w:val="32"/>
          <w:szCs w:val="32"/>
          <w:lang w:val="zh-CN"/>
        </w:rPr>
      </w:pPr>
    </w:p>
    <w:p>
      <w:pPr>
        <w:snapToGrid w:val="0"/>
        <w:spacing w:line="240" w:lineRule="atLeast"/>
        <w:ind w:left="0" w:leftChars="0" w:right="0" w:rightChars="0" w:firstLine="0" w:firstLineChars="0"/>
        <w:jc w:val="center"/>
        <w:rPr>
          <w:rFonts w:eastAsia="华文中宋"/>
          <w:b/>
          <w:sz w:val="44"/>
          <w:szCs w:val="44"/>
          <w:lang w:val="zh-CN"/>
        </w:rPr>
      </w:pPr>
      <w:bookmarkStart w:id="0" w:name="_GoBack"/>
      <w:r>
        <w:rPr>
          <w:rFonts w:hAnsi="华文中宋" w:eastAsia="华文中宋"/>
          <w:b/>
          <w:sz w:val="44"/>
          <w:szCs w:val="44"/>
          <w:lang w:val="zh-CN"/>
        </w:rPr>
        <w:t>第</w:t>
      </w:r>
      <w:r>
        <w:rPr>
          <w:rFonts w:eastAsia="华文中宋"/>
          <w:b/>
          <w:sz w:val="44"/>
          <w:szCs w:val="44"/>
          <w:lang w:val="zh-CN"/>
        </w:rPr>
        <w:t>45</w:t>
      </w:r>
      <w:r>
        <w:rPr>
          <w:rFonts w:hAnsi="华文中宋" w:eastAsia="华文中宋"/>
          <w:b/>
          <w:sz w:val="44"/>
          <w:szCs w:val="44"/>
          <w:lang w:val="zh-CN"/>
        </w:rPr>
        <w:t>届世界技能大赛</w:t>
      </w:r>
      <w:r>
        <w:rPr>
          <w:rFonts w:hint="eastAsia" w:hAnsi="华文中宋" w:eastAsia="华文中宋"/>
          <w:b/>
          <w:sz w:val="44"/>
          <w:szCs w:val="44"/>
          <w:lang w:val="zh-CN"/>
        </w:rPr>
        <w:t>训练</w:t>
      </w:r>
      <w:r>
        <w:rPr>
          <w:rFonts w:hAnsi="华文中宋" w:eastAsia="华文中宋"/>
          <w:b/>
          <w:sz w:val="44"/>
          <w:szCs w:val="44"/>
          <w:lang w:val="zh-CN"/>
        </w:rPr>
        <w:t>应变能力模拟训练表</w:t>
      </w:r>
      <w:bookmarkEnd w:id="0"/>
      <w:r>
        <w:rPr>
          <w:rFonts w:hAnsi="华文中宋" w:eastAsia="华文中宋"/>
          <w:b/>
          <w:sz w:val="44"/>
          <w:szCs w:val="44"/>
          <w:lang w:val="zh-CN"/>
        </w:rPr>
        <w:t>（通用部分）</w:t>
      </w:r>
    </w:p>
    <w:tbl>
      <w:tblPr>
        <w:tblStyle w:val="4"/>
        <w:tblW w:w="14271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"/>
        <w:gridCol w:w="2700"/>
        <w:gridCol w:w="2431"/>
        <w:gridCol w:w="519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  <w:lang w:val="zh-CN"/>
              </w:rPr>
              <w:t>项目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  <w:lang w:val="zh-CN"/>
              </w:rPr>
              <w:t>突发事件举例</w:t>
            </w:r>
          </w:p>
        </w:tc>
        <w:tc>
          <w:tcPr>
            <w:tcW w:w="10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  <w:lang w:val="zh-CN"/>
              </w:rPr>
              <w:t>应变能力模拟训练措施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lang w:val="zh-CN"/>
              </w:rPr>
              <w:t>集训基地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lang w:val="zh-CN"/>
              </w:rPr>
              <w:t>专家组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lang w:val="zh-CN"/>
              </w:rPr>
              <w:t>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hAnsi="仿宋_GB2312" w:eastAsia="仿宋_GB2312"/>
                <w:lang w:val="zh-CN"/>
              </w:rPr>
            </w:pPr>
            <w:r>
              <w:rPr>
                <w:rFonts w:hAnsi="仿宋_GB2312" w:eastAsia="仿宋_GB2312"/>
                <w:lang w:val="zh-CN"/>
              </w:rPr>
              <w:t>设备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hAnsi="仿宋_GB2312" w:eastAsia="仿宋_GB2312"/>
                <w:lang w:val="zh-CN"/>
              </w:rPr>
            </w:pPr>
            <w:r>
              <w:rPr>
                <w:rFonts w:hAnsi="仿宋_GB2312" w:eastAsia="仿宋_GB2312"/>
                <w:lang w:val="zh-CN"/>
              </w:rPr>
              <w:t>工具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hAnsi="仿宋_GB2312" w:eastAsia="仿宋_GB2312"/>
                <w:lang w:val="zh-CN"/>
              </w:rPr>
            </w:pPr>
            <w:r>
              <w:rPr>
                <w:rFonts w:hAnsi="仿宋_GB2312" w:eastAsia="仿宋_GB2312"/>
                <w:lang w:val="zh-CN"/>
              </w:rPr>
              <w:t>材料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  <w:lang w:val="zh-CN"/>
              </w:rPr>
              <w:t>问题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</w:pPr>
            <w:r>
              <w:rPr>
                <w:lang w:val="zh-CN"/>
              </w:rPr>
              <w:t>设备不能正常运转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1.按本项目的技术要求准备工具、材料、设备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2.准备必备的备用工具、材料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3.配合情境训练（如：提供性能陌生的工具、材料等）</w:t>
            </w:r>
          </w:p>
        </w:tc>
        <w:tc>
          <w:tcPr>
            <w:tcW w:w="5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1.深入研究本项目技术描述、基础设施清单等相关技术要求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2.使用备用工具训练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3.设计情境训练，锻炼选手具备自主应对工具设备问题的能力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4.培养选手规范整理工具、材料的习惯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  <w:rPr>
                <w:b/>
                <w:bCs/>
              </w:rPr>
            </w:pPr>
            <w:r>
              <w:rPr>
                <w:lang w:val="zh-CN"/>
              </w:rPr>
              <w:t>5.确定随身携带备用工具的人员及携带工具的清单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1.掌握备用或不熟悉工具、材料的性能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2.掌握比赛设备的特点、性能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3.养成按规则程序解决工具设备问题，维护权益的习惯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4.养成规范整理工具材料，不乱拿、乱放的习惯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</w:pPr>
            <w:r>
              <w:rPr>
                <w:lang w:val="zh-CN"/>
              </w:rPr>
              <w:t>工具、材料缺失、损坏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5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</w:pPr>
            <w:r>
              <w:rPr>
                <w:lang w:val="zh-CN"/>
              </w:rPr>
              <w:t>设备、工具、材料性能陌生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  <w:tc>
          <w:tcPr>
            <w:tcW w:w="5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6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630" w:firstLineChars="300"/>
            </w:pPr>
            <w:r>
              <w:rPr>
                <w:lang w:val="zh-CN"/>
              </w:rPr>
              <w:t>工具、材料多出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  <w:tc>
          <w:tcPr>
            <w:tcW w:w="5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  <w:lang w:val="zh-CN"/>
              </w:rPr>
              <w:t>试题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hAnsi="仿宋_GB2312" w:eastAsia="仿宋_GB2312"/>
                <w:lang w:val="zh-CN"/>
              </w:rPr>
            </w:pPr>
            <w:r>
              <w:rPr>
                <w:rFonts w:hAnsi="仿宋_GB2312" w:eastAsia="仿宋_GB2312"/>
                <w:lang w:val="zh-CN"/>
              </w:rPr>
              <w:t>评分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  <w:lang w:val="zh-CN"/>
              </w:rPr>
              <w:t>问题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420"/>
            </w:pPr>
            <w:r>
              <w:rPr>
                <w:color w:val="000000"/>
                <w:lang w:val="zh-CN"/>
              </w:rPr>
              <w:t>命题方式变化（命题方面可能发生突发性的技术调整）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</w:pPr>
            <w:r>
              <w:rPr>
                <w:color w:val="000000"/>
                <w:lang w:val="zh-CN"/>
              </w:rPr>
              <w:t>－</w:t>
            </w:r>
          </w:p>
        </w:tc>
        <w:tc>
          <w:tcPr>
            <w:tcW w:w="5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210" w:firstLineChars="100"/>
            </w:pPr>
            <w:r>
              <w:rPr>
                <w:lang w:val="zh-CN"/>
              </w:rPr>
              <w:t>1.尽早了解本项目试题、评分等方面的技术变化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210" w:firstLineChars="100"/>
            </w:pPr>
            <w:r>
              <w:rPr>
                <w:lang w:val="zh-CN"/>
              </w:rPr>
              <w:t>2.深入研究相关变化，制定对策</w:t>
            </w:r>
            <w:r>
              <w:rPr>
                <w:rFonts w:hint="eastAsia"/>
                <w:lang w:val="zh-CN"/>
              </w:rPr>
              <w:t>，</w:t>
            </w:r>
            <w:r>
              <w:rPr>
                <w:lang w:val="zh-CN"/>
              </w:rPr>
              <w:t>及时融入训练方案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210" w:firstLineChars="100"/>
            </w:pPr>
            <w:r>
              <w:rPr>
                <w:lang w:val="zh-CN"/>
              </w:rPr>
              <w:t>3.全方位训练选手技能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315" w:firstLineChars="15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t>通过训练，全面提升技能并保持稳定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420"/>
            </w:pPr>
            <w:r>
              <w:rPr>
                <w:lang w:val="zh-CN"/>
              </w:rPr>
              <w:t>评分框架调整（包括综合评分试点）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5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420"/>
            </w:pPr>
            <w:r>
              <w:rPr>
                <w:lang w:val="zh-CN"/>
              </w:rPr>
              <w:t>试题出现错误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jc w:val="center"/>
            </w:pPr>
            <w:r>
              <w:rPr>
                <w:color w:val="000000"/>
                <w:lang w:val="zh-CN"/>
              </w:rPr>
              <w:t>－</w:t>
            </w:r>
          </w:p>
        </w:tc>
        <w:tc>
          <w:tcPr>
            <w:tcW w:w="5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1.仔细研究本项目评分规则及大赛申诉规则，以备维权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</w:pPr>
            <w:r>
              <w:rPr>
                <w:lang w:val="zh-CN"/>
              </w:rPr>
              <w:t>2.研究、掌握本项目试题及评分标准方面具体技术要求</w:t>
            </w:r>
          </w:p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210" w:firstLineChars="100"/>
              <w:rPr>
                <w:b/>
                <w:bCs/>
              </w:rPr>
            </w:pPr>
            <w:r>
              <w:rPr>
                <w:lang w:val="zh-CN"/>
              </w:rPr>
              <w:t>3.在训练中创设情境模拟，训练选手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ind w:firstLine="315" w:firstLineChars="150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t>在集训中主动养成善于发现问题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敢于维权的意识和习惯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7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420" w:firstLineChars="200"/>
            </w:pPr>
            <w:r>
              <w:rPr>
                <w:lang w:val="zh-CN"/>
              </w:rPr>
              <w:t>选手遇到评分错误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5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46" w:beforeLines="0" w:after="46" w:afterLines="0"/>
              <w:rPr>
                <w:b/>
                <w:bCs/>
              </w:rPr>
            </w:pPr>
          </w:p>
        </w:tc>
      </w:tr>
    </w:tbl>
    <w:p/>
    <w:tbl>
      <w:tblPr>
        <w:tblStyle w:val="4"/>
        <w:tblW w:w="13879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"/>
        <w:gridCol w:w="2700"/>
        <w:gridCol w:w="2431"/>
        <w:gridCol w:w="450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b/>
                <w:bCs/>
                <w:sz w:val="24"/>
              </w:rPr>
            </w:pPr>
            <w:r>
              <w:rPr>
                <w:rFonts w:hAnsi="黑体" w:eastAsia="黑体"/>
                <w:sz w:val="24"/>
                <w:lang w:val="zh-CN"/>
              </w:rPr>
              <w:t>项目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  <w:lang w:val="zh-CN"/>
              </w:rPr>
            </w:pPr>
            <w:r>
              <w:rPr>
                <w:rFonts w:hAnsi="黑体" w:eastAsia="黑体"/>
                <w:sz w:val="24"/>
                <w:lang w:val="zh-CN"/>
              </w:rPr>
              <w:t>突发事件举例</w:t>
            </w:r>
          </w:p>
        </w:tc>
        <w:tc>
          <w:tcPr>
            <w:tcW w:w="10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 w:val="24"/>
                <w:lang w:val="zh-CN"/>
              </w:rPr>
            </w:pPr>
            <w:r>
              <w:rPr>
                <w:rFonts w:hAnsi="黑体" w:eastAsia="黑体"/>
                <w:sz w:val="24"/>
                <w:lang w:val="zh-CN"/>
              </w:rPr>
              <w:t>应变能力模拟训练措施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Cs w:val="21"/>
                <w:lang w:val="zh-CN"/>
              </w:rPr>
            </w:pPr>
            <w:r>
              <w:rPr>
                <w:rFonts w:hAnsi="黑体" w:eastAsia="黑体"/>
                <w:szCs w:val="21"/>
                <w:lang w:val="zh-CN"/>
              </w:rPr>
              <w:t>集训基地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Cs w:val="21"/>
                <w:lang w:val="zh-CN"/>
              </w:rPr>
            </w:pPr>
            <w:r>
              <w:rPr>
                <w:rFonts w:hAnsi="黑体" w:eastAsia="黑体"/>
                <w:szCs w:val="21"/>
                <w:lang w:val="zh-CN"/>
              </w:rPr>
              <w:t>专家组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黑体"/>
                <w:szCs w:val="21"/>
                <w:lang w:val="zh-CN"/>
              </w:rPr>
            </w:pPr>
            <w:r>
              <w:rPr>
                <w:rFonts w:hAnsi="黑体" w:eastAsia="黑体"/>
                <w:szCs w:val="21"/>
                <w:lang w:val="zh-CN"/>
              </w:rPr>
              <w:t>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210" w:firstLineChars="100"/>
              <w:rPr>
                <w:rFonts w:hint="eastAsia" w:eastAsia="仿宋_GB2312"/>
              </w:rPr>
            </w:pPr>
            <w:r>
              <w:rPr>
                <w:rFonts w:hAnsi="仿宋_GB2312" w:eastAsia="仿宋_GB2312"/>
              </w:rPr>
              <w:t>安全</w:t>
            </w:r>
            <w:r>
              <w:rPr>
                <w:rFonts w:eastAsia="仿宋_GB2312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eastAsia="仿宋_GB2312"/>
              </w:rPr>
            </w:pPr>
            <w:r>
              <w:rPr>
                <w:rFonts w:hAnsi="仿宋_GB2312" w:eastAsia="仿宋_GB2312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ind w:firstLine="210" w:firstLineChars="100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环境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问题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lang w:val="zh-CN"/>
              </w:rPr>
              <w:t>突发伤病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zh-CN"/>
              </w:rPr>
              <w:t>做好生活保障，确保专家、选手健康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1.在训练的同时，照顾好选手日常生活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2.加强自我健康管理和体检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1.学会生活上的自我管理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2.养成安全操作及良好生活习惯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3.加强体能训练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lang w:val="zh-CN"/>
              </w:rPr>
              <w:t>他人误操作危及选手安全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lang w:val="zh-CN"/>
              </w:rPr>
              <w:t>按照世赛安全健康规定要求为集训提供场地、设备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000000"/>
              </w:rPr>
            </w:pPr>
            <w:r>
              <w:rPr>
                <w:color w:val="000000"/>
                <w:lang w:val="zh-CN"/>
              </w:rPr>
              <w:t>1.认真学习</w:t>
            </w:r>
            <w:r>
              <w:rPr>
                <w:rFonts w:hint="eastAsia"/>
                <w:color w:val="000000"/>
                <w:lang w:val="zh-CN"/>
              </w:rPr>
              <w:t>，</w:t>
            </w:r>
            <w:r>
              <w:rPr>
                <w:color w:val="000000"/>
                <w:lang w:val="zh-CN"/>
              </w:rPr>
              <w:t>掌握安全、健康规定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000000"/>
              </w:rPr>
            </w:pPr>
            <w:r>
              <w:rPr>
                <w:color w:val="000000"/>
                <w:lang w:val="zh-CN"/>
              </w:rPr>
              <w:t>2.将安全、健康要求融入训练中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color w:val="000000"/>
              </w:rPr>
            </w:pPr>
            <w:r>
              <w:rPr>
                <w:color w:val="000000"/>
                <w:lang w:val="zh-CN"/>
              </w:rPr>
              <w:t>3.及时纠正选手违规操作行为，使选手养成规范操作习惯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1.在训练中掌握安全健康要求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2.学会操作中的自我保护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3.养成规范操作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保持操作环境整洁的习惯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lang w:val="zh-CN"/>
              </w:rPr>
              <w:t>安全健康其他问题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hint="eastAsia" w:eastAsia="仿宋_GB2312"/>
              </w:rPr>
            </w:pPr>
            <w:r>
              <w:rPr>
                <w:rFonts w:hAnsi="仿宋_GB2312" w:eastAsia="仿宋_GB2312"/>
              </w:rPr>
              <w:t>意外</w:t>
            </w:r>
            <w:r>
              <w:rPr>
                <w:rFonts w:eastAsia="仿宋_GB2312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干扰</w:t>
            </w:r>
          </w:p>
          <w:p>
            <w:pPr>
              <w:autoSpaceDE w:val="0"/>
              <w:autoSpaceDN w:val="0"/>
              <w:adjustRightInd w:val="0"/>
              <w:spacing w:before="78" w:beforeLines="0" w:after="78" w:afterLines="0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问题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调整好的设备、携带的工具或作品被人为改动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lang w:val="zh-CN"/>
              </w:rPr>
              <w:t>－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1.培养选手操作前后认真检查设备状况的习惯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2.组织选手学习竞赛规则关于设备操作、工具检查及比赛管理等方面的规定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3.设置情境模拟训练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1.养成操作前后认真检查设备的习惯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2.掌握竞赛规则关于设备操作、工具检查及比赛管理等要求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lang w:val="zh-CN"/>
              </w:rPr>
            </w:pPr>
            <w:r>
              <w:rPr>
                <w:lang w:val="zh-CN"/>
              </w:rPr>
              <w:t>3.养成发现问题按程序反映的意识，锻炼相应能力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其他专家近距离、长时间关注选手操作</w:t>
            </w:r>
          </w:p>
        </w:tc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lang w:val="zh-CN"/>
              </w:rPr>
              <w:t>安排人员并提供相应场地、条件，配合专家组进行情境模拟训练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设置模拟情境，组织选手进行抗干扰、抗压力训练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培养按照规则要求，主动应对各种干扰的意识和能力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来自场外观众的各种干扰（如：喧哗、频繁拍摄、向场内投放物品等）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/>
              </w:rPr>
              <w:t>其他专家打断、终止选手正常操作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1.组织选手认真学习竞赛规则</w:t>
            </w:r>
            <w:r>
              <w:rPr>
                <w:rFonts w:hint="eastAsia"/>
                <w:lang w:val="zh-CN"/>
              </w:rPr>
              <w:t>中</w:t>
            </w:r>
            <w:r>
              <w:rPr>
                <w:lang w:val="zh-CN"/>
              </w:rPr>
              <w:t>赛前、赛中、赛后的相关规定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2.专家组长、翻译掌握自身应对方法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3.设置模拟情境，训练选手应对方法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1.掌握竞赛规则关于比赛中选手的权益保障规定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lang w:val="zh-CN"/>
              </w:rPr>
              <w:t>2.养成自觉维权的意识和能力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lang w:val="zh-CN"/>
              </w:rPr>
              <w:t>选手被错判违反竞赛规则</w:t>
            </w:r>
          </w:p>
        </w:tc>
        <w:tc>
          <w:tcPr>
            <w:tcW w:w="2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autoSpaceDE w:val="0"/>
        <w:autoSpaceDN w:val="0"/>
        <w:adjustRightInd w:val="0"/>
        <w:rPr>
          <w:sz w:val="24"/>
        </w:rPr>
      </w:pPr>
      <w:r>
        <w:rPr>
          <w:sz w:val="24"/>
          <w:lang w:val="zh-CN"/>
        </w:rPr>
        <w:t>注：1.本表作为通用性应急处置训练表，所列内容为日后参加比赛期间可能遇到的突发性问题事例。</w:t>
      </w:r>
    </w:p>
    <w:p>
      <w:pPr>
        <w:autoSpaceDE w:val="0"/>
        <w:autoSpaceDN w:val="0"/>
        <w:adjustRightInd w:val="0"/>
        <w:ind w:firstLine="472"/>
        <w:rPr>
          <w:sz w:val="24"/>
        </w:rPr>
      </w:pPr>
      <w:r>
        <w:rPr>
          <w:sz w:val="24"/>
          <w:lang w:val="zh-CN"/>
        </w:rPr>
        <w:t>2.开展应急处置训练时应对本表所列问题逐一安排训练，但训练内容不仅限于此表中所列内容。</w:t>
      </w:r>
    </w:p>
    <w:p>
      <w:pPr>
        <w:autoSpaceDE w:val="0"/>
        <w:autoSpaceDN w:val="0"/>
        <w:adjustRightInd w:val="0"/>
        <w:ind w:firstLine="470" w:firstLineChars="196"/>
      </w:pPr>
      <w:r>
        <w:rPr>
          <w:sz w:val="24"/>
          <w:lang w:val="zh-CN"/>
        </w:rPr>
        <w:t>3.作为集训一项重要内容，各项目还可根据项目特点和比赛实际，尽量将可能发生的问题设想全面并做相应应对性训练。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)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59D2"/>
    <w:rsid w:val="1D0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2018-10-16T07:21:00Z</dcterms:created>
  <dc:creator>user</dc:creator>
  <cp:lastModifiedBy>user</cp:lastModifiedBy>
  <dcterms:modified xsi:type="dcterms:W3CDTF">2018-10-16T07:21:29Z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