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33" w:rsidRPr="000E4A48" w:rsidRDefault="00FF7733" w:rsidP="00FF7733">
      <w:pPr>
        <w:widowControl/>
        <w:jc w:val="left"/>
        <w:rPr>
          <w:rFonts w:eastAsia="黑体"/>
          <w:sz w:val="32"/>
          <w:szCs w:val="32"/>
        </w:rPr>
      </w:pPr>
      <w:r w:rsidRPr="000E4A48">
        <w:rPr>
          <w:rFonts w:eastAsia="黑体"/>
          <w:sz w:val="32"/>
          <w:szCs w:val="32"/>
        </w:rPr>
        <w:t>附件</w:t>
      </w:r>
      <w:r w:rsidRPr="000E4A48">
        <w:rPr>
          <w:rFonts w:eastAsia="黑体" w:hint="eastAsia"/>
          <w:sz w:val="32"/>
          <w:szCs w:val="32"/>
        </w:rPr>
        <w:t>2</w:t>
      </w:r>
    </w:p>
    <w:p w:rsidR="00FF7733" w:rsidRPr="00C01BF3" w:rsidRDefault="00FF7733" w:rsidP="00FF7733">
      <w:pPr>
        <w:widowControl/>
        <w:jc w:val="center"/>
        <w:rPr>
          <w:rFonts w:eastAsia="文星简小标宋"/>
          <w:sz w:val="44"/>
          <w:szCs w:val="44"/>
        </w:rPr>
      </w:pPr>
      <w:bookmarkStart w:id="0" w:name="_GoBack"/>
      <w:r w:rsidRPr="000E4A48">
        <w:rPr>
          <w:rFonts w:eastAsia="文星简小标宋"/>
          <w:sz w:val="44"/>
          <w:szCs w:val="44"/>
        </w:rPr>
        <w:t>市人社</w:t>
      </w:r>
      <w:r w:rsidRPr="007B2375">
        <w:rPr>
          <w:rFonts w:eastAsia="文星简小标宋"/>
          <w:sz w:val="44"/>
          <w:szCs w:val="44"/>
        </w:rPr>
        <w:t>局宣布</w:t>
      </w:r>
      <w:r w:rsidRPr="007B2375">
        <w:rPr>
          <w:rFonts w:eastAsia="文星简小标宋" w:hint="eastAsia"/>
          <w:sz w:val="44"/>
          <w:szCs w:val="44"/>
        </w:rPr>
        <w:t>失效</w:t>
      </w:r>
      <w:r w:rsidRPr="007B2375">
        <w:rPr>
          <w:rFonts w:eastAsia="文星简小标宋"/>
          <w:sz w:val="44"/>
          <w:szCs w:val="44"/>
        </w:rPr>
        <w:t>的</w:t>
      </w:r>
      <w:r w:rsidRPr="007B2375">
        <w:rPr>
          <w:rFonts w:eastAsia="文星简小标宋" w:hint="eastAsia"/>
          <w:sz w:val="44"/>
          <w:szCs w:val="44"/>
        </w:rPr>
        <w:t>规范性</w:t>
      </w:r>
      <w:r w:rsidRPr="00C01BF3">
        <w:rPr>
          <w:rFonts w:eastAsia="文星简小标宋"/>
          <w:sz w:val="44"/>
          <w:szCs w:val="44"/>
        </w:rPr>
        <w:t>文件目录</w:t>
      </w:r>
    </w:p>
    <w:bookmarkEnd w:id="0"/>
    <w:p w:rsidR="00FF7733" w:rsidRPr="000E4A48" w:rsidRDefault="00FF7733" w:rsidP="00FF7733">
      <w:pPr>
        <w:widowControl/>
        <w:jc w:val="center"/>
        <w:rPr>
          <w:rFonts w:eastAsia="楷体_GB2312"/>
          <w:sz w:val="32"/>
          <w:szCs w:val="32"/>
        </w:rPr>
      </w:pPr>
      <w:r w:rsidRPr="000E4A48">
        <w:rPr>
          <w:rFonts w:eastAsia="楷体_GB2312"/>
          <w:sz w:val="32"/>
          <w:szCs w:val="32"/>
        </w:rPr>
        <w:t>（共</w:t>
      </w:r>
      <w:r w:rsidRPr="000E4A48">
        <w:rPr>
          <w:rFonts w:eastAsia="楷体_GB2312" w:hint="eastAsia"/>
          <w:sz w:val="32"/>
          <w:szCs w:val="32"/>
        </w:rPr>
        <w:t>90</w:t>
      </w:r>
      <w:r w:rsidRPr="000E4A48">
        <w:rPr>
          <w:rFonts w:eastAsia="楷体_GB2312"/>
          <w:sz w:val="32"/>
          <w:szCs w:val="32"/>
        </w:rPr>
        <w:t>件）</w:t>
      </w:r>
    </w:p>
    <w:tbl>
      <w:tblPr>
        <w:tblW w:w="13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3439"/>
        <w:gridCol w:w="5044"/>
        <w:gridCol w:w="1668"/>
        <w:gridCol w:w="2543"/>
      </w:tblGrid>
      <w:tr w:rsidR="00FF7733" w:rsidRPr="000E4A48" w:rsidTr="00F54EC3">
        <w:trPr>
          <w:cantSplit/>
          <w:trHeight w:val="780"/>
          <w:jc w:val="center"/>
        </w:trPr>
        <w:tc>
          <w:tcPr>
            <w:tcW w:w="342" w:type="pct"/>
            <w:shd w:val="clear" w:color="auto" w:fill="auto"/>
            <w:vAlign w:val="center"/>
          </w:tcPr>
          <w:p w:rsidR="00FF7733" w:rsidRPr="000E4A48" w:rsidRDefault="00FF7733" w:rsidP="00F54EC3">
            <w:pPr>
              <w:widowControl/>
              <w:jc w:val="center"/>
              <w:rPr>
                <w:rFonts w:eastAsia="黑体"/>
                <w:b/>
                <w:sz w:val="30"/>
                <w:szCs w:val="30"/>
              </w:rPr>
            </w:pPr>
            <w:r w:rsidRPr="000E4A48">
              <w:rPr>
                <w:rFonts w:eastAsia="黑体" w:hint="eastAsia"/>
                <w:b/>
                <w:sz w:val="30"/>
                <w:szCs w:val="30"/>
              </w:rPr>
              <w:t>序号</w:t>
            </w:r>
          </w:p>
        </w:tc>
        <w:tc>
          <w:tcPr>
            <w:tcW w:w="1262" w:type="pct"/>
            <w:shd w:val="clear" w:color="auto" w:fill="auto"/>
            <w:vAlign w:val="center"/>
          </w:tcPr>
          <w:p w:rsidR="00FF7733" w:rsidRPr="000E4A48" w:rsidRDefault="00FF7733" w:rsidP="00F54EC3">
            <w:pPr>
              <w:widowControl/>
              <w:jc w:val="center"/>
              <w:rPr>
                <w:rFonts w:eastAsia="黑体"/>
                <w:b/>
                <w:sz w:val="30"/>
                <w:szCs w:val="30"/>
              </w:rPr>
            </w:pPr>
            <w:r w:rsidRPr="000E4A48">
              <w:rPr>
                <w:rFonts w:eastAsia="黑体" w:hint="eastAsia"/>
                <w:b/>
                <w:sz w:val="30"/>
                <w:szCs w:val="30"/>
              </w:rPr>
              <w:t>文号</w:t>
            </w:r>
          </w:p>
        </w:tc>
        <w:tc>
          <w:tcPr>
            <w:tcW w:w="1851" w:type="pct"/>
            <w:shd w:val="clear" w:color="auto" w:fill="auto"/>
            <w:vAlign w:val="center"/>
          </w:tcPr>
          <w:p w:rsidR="00FF7733" w:rsidRPr="000E4A48" w:rsidRDefault="00FF7733" w:rsidP="00F54EC3">
            <w:pPr>
              <w:widowControl/>
              <w:jc w:val="center"/>
              <w:rPr>
                <w:rFonts w:eastAsia="黑体"/>
                <w:b/>
                <w:sz w:val="30"/>
                <w:szCs w:val="30"/>
              </w:rPr>
            </w:pPr>
            <w:r w:rsidRPr="000E4A48">
              <w:rPr>
                <w:rFonts w:eastAsia="黑体" w:hint="eastAsia"/>
                <w:b/>
                <w:sz w:val="30"/>
                <w:szCs w:val="30"/>
              </w:rPr>
              <w:t>文件名称</w:t>
            </w:r>
          </w:p>
        </w:tc>
        <w:tc>
          <w:tcPr>
            <w:tcW w:w="612" w:type="pct"/>
            <w:shd w:val="clear" w:color="auto" w:fill="auto"/>
            <w:vAlign w:val="center"/>
          </w:tcPr>
          <w:p w:rsidR="00FF7733" w:rsidRPr="000E4A48" w:rsidRDefault="00FF7733" w:rsidP="00F54EC3">
            <w:pPr>
              <w:widowControl/>
              <w:jc w:val="center"/>
              <w:rPr>
                <w:rFonts w:eastAsia="黑体"/>
                <w:b/>
                <w:sz w:val="30"/>
                <w:szCs w:val="30"/>
              </w:rPr>
            </w:pPr>
            <w:r w:rsidRPr="000E4A48">
              <w:rPr>
                <w:rFonts w:eastAsia="黑体" w:hint="eastAsia"/>
                <w:b/>
                <w:sz w:val="30"/>
                <w:szCs w:val="30"/>
              </w:rPr>
              <w:t>清理意见</w:t>
            </w:r>
          </w:p>
        </w:tc>
        <w:tc>
          <w:tcPr>
            <w:tcW w:w="933" w:type="pct"/>
            <w:shd w:val="clear" w:color="auto" w:fill="auto"/>
            <w:vAlign w:val="center"/>
          </w:tcPr>
          <w:p w:rsidR="00FF7733" w:rsidRPr="000E4A48" w:rsidRDefault="00FF7733" w:rsidP="00F54EC3">
            <w:pPr>
              <w:widowControl/>
              <w:jc w:val="center"/>
              <w:rPr>
                <w:rFonts w:eastAsia="黑体"/>
                <w:b/>
                <w:sz w:val="30"/>
                <w:szCs w:val="30"/>
              </w:rPr>
            </w:pPr>
            <w:r w:rsidRPr="000E4A48">
              <w:rPr>
                <w:rFonts w:eastAsia="黑体" w:hint="eastAsia"/>
                <w:b/>
                <w:sz w:val="30"/>
                <w:szCs w:val="30"/>
              </w:rPr>
              <w:t>理由</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1986</w:t>
            </w:r>
            <w:r w:rsidRPr="000E4A48">
              <w:rPr>
                <w:rFonts w:eastAsia="仿宋_GB2312" w:hint="eastAsia"/>
                <w:bCs/>
                <w:kern w:val="0"/>
                <w:sz w:val="28"/>
                <w:szCs w:val="28"/>
              </w:rPr>
              <w:t>〕</w:t>
            </w:r>
            <w:r w:rsidRPr="000E4A48">
              <w:rPr>
                <w:rFonts w:eastAsia="仿宋_GB2312" w:hint="eastAsia"/>
                <w:bCs/>
                <w:kern w:val="0"/>
                <w:sz w:val="28"/>
                <w:szCs w:val="28"/>
              </w:rPr>
              <w:t>256</w:t>
            </w:r>
            <w:r w:rsidRPr="000E4A48">
              <w:rPr>
                <w:rFonts w:eastAsia="仿宋_GB2312" w:hint="eastAsia"/>
                <w:bCs/>
                <w:kern w:val="0"/>
                <w:sz w:val="28"/>
                <w:szCs w:val="28"/>
              </w:rPr>
              <w:t>号</w:t>
            </w:r>
          </w:p>
        </w:tc>
        <w:tc>
          <w:tcPr>
            <w:tcW w:w="1851" w:type="pct"/>
            <w:shd w:val="clear" w:color="auto" w:fill="auto"/>
          </w:tcPr>
          <w:p w:rsidR="00FF7733" w:rsidRPr="000E4A48" w:rsidRDefault="00FF7733" w:rsidP="00F54EC3">
            <w:pPr>
              <w:widowControl/>
              <w:spacing w:line="360" w:lineRule="exact"/>
              <w:jc w:val="left"/>
              <w:rPr>
                <w:rFonts w:eastAsia="仿宋_GB2312"/>
                <w:sz w:val="28"/>
                <w:szCs w:val="28"/>
              </w:rPr>
            </w:pPr>
            <w:r w:rsidRPr="000E4A48">
              <w:rPr>
                <w:rFonts w:eastAsia="仿宋_GB2312" w:hint="eastAsia"/>
                <w:sz w:val="28"/>
                <w:szCs w:val="28"/>
              </w:rPr>
              <w:t>关于“文革”期间随父母遣送、疏散到农村的子女在农村劳动期间工龄计算问题的通知</w:t>
            </w:r>
          </w:p>
        </w:tc>
        <w:tc>
          <w:tcPr>
            <w:tcW w:w="612" w:type="pct"/>
            <w:shd w:val="clear" w:color="000000" w:fill="FFFFFF"/>
            <w:vAlign w:val="center"/>
          </w:tcPr>
          <w:p w:rsidR="00FF7733" w:rsidRPr="000E4A48" w:rsidRDefault="00FF7733" w:rsidP="00F54EC3">
            <w:pPr>
              <w:widowControl/>
              <w:spacing w:before="240" w:line="480" w:lineRule="auto"/>
              <w:jc w:val="center"/>
              <w:rPr>
                <w:rFonts w:eastAsia="仿宋_GB2312"/>
                <w:bCs/>
                <w:kern w:val="0"/>
                <w:sz w:val="44"/>
                <w:szCs w:val="44"/>
              </w:rPr>
            </w:pPr>
            <w:r w:rsidRPr="000E4A48">
              <w:rPr>
                <w:rFonts w:eastAsia="仿宋_GB2312" w:hint="eastAsia"/>
                <w:bCs/>
                <w:kern w:val="0"/>
                <w:sz w:val="28"/>
                <w:szCs w:val="28"/>
              </w:rPr>
              <w:t>宣布失效</w:t>
            </w:r>
          </w:p>
        </w:tc>
        <w:tc>
          <w:tcPr>
            <w:tcW w:w="933" w:type="pct"/>
            <w:shd w:val="clear" w:color="000000" w:fill="FFFFFF"/>
            <w:vAlign w:val="center"/>
          </w:tcPr>
          <w:p w:rsidR="00FF7733" w:rsidRPr="007B2375" w:rsidRDefault="00FF7733" w:rsidP="00F54EC3">
            <w:pPr>
              <w:widowControl/>
              <w:spacing w:line="360" w:lineRule="auto"/>
              <w:jc w:val="center"/>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2</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津人工〔</w:t>
            </w:r>
            <w:r w:rsidRPr="000E4A48">
              <w:rPr>
                <w:rFonts w:eastAsia="仿宋_GB2312" w:hint="eastAsia"/>
                <w:bCs/>
                <w:kern w:val="0"/>
                <w:sz w:val="28"/>
                <w:szCs w:val="28"/>
              </w:rPr>
              <w:t>1986</w:t>
            </w:r>
            <w:r w:rsidRPr="000E4A48">
              <w:rPr>
                <w:rFonts w:eastAsia="仿宋_GB2312" w:hint="eastAsia"/>
                <w:bCs/>
                <w:kern w:val="0"/>
                <w:sz w:val="28"/>
                <w:szCs w:val="28"/>
              </w:rPr>
              <w:t>〕</w:t>
            </w:r>
            <w:r w:rsidRPr="000E4A48">
              <w:rPr>
                <w:rFonts w:eastAsia="仿宋_GB2312" w:hint="eastAsia"/>
                <w:bCs/>
                <w:kern w:val="0"/>
                <w:sz w:val="28"/>
                <w:szCs w:val="28"/>
              </w:rPr>
              <w:t>91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rPr>
                <w:rFonts w:eastAsia="仿宋_GB2312"/>
                <w:bCs/>
                <w:kern w:val="0"/>
                <w:sz w:val="28"/>
                <w:szCs w:val="28"/>
              </w:rPr>
            </w:pPr>
            <w:r w:rsidRPr="000E4A48">
              <w:rPr>
                <w:rFonts w:eastAsia="仿宋_GB2312" w:hint="eastAsia"/>
                <w:bCs/>
                <w:kern w:val="0"/>
                <w:sz w:val="28"/>
                <w:szCs w:val="28"/>
              </w:rPr>
              <w:t>关于教龄津贴、护士工龄津贴作为计发离、退休和退职待遇基数的通知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75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3</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1987</w:t>
            </w:r>
            <w:r w:rsidRPr="000E4A48">
              <w:rPr>
                <w:rFonts w:eastAsia="仿宋_GB2312" w:hint="eastAsia"/>
                <w:bCs/>
                <w:kern w:val="0"/>
                <w:sz w:val="28"/>
                <w:szCs w:val="28"/>
              </w:rPr>
              <w:t>〕</w:t>
            </w:r>
            <w:r w:rsidRPr="000E4A48">
              <w:rPr>
                <w:rFonts w:eastAsia="仿宋_GB2312" w:hint="eastAsia"/>
                <w:bCs/>
                <w:kern w:val="0"/>
                <w:sz w:val="28"/>
                <w:szCs w:val="28"/>
              </w:rPr>
              <w:t>104</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rPr>
                <w:rFonts w:eastAsia="仿宋_GB2312"/>
                <w:bCs/>
                <w:kern w:val="0"/>
                <w:sz w:val="28"/>
                <w:szCs w:val="28"/>
              </w:rPr>
            </w:pPr>
            <w:r w:rsidRPr="000E4A48">
              <w:rPr>
                <w:rFonts w:eastAsia="仿宋_GB2312" w:hint="eastAsia"/>
                <w:bCs/>
                <w:kern w:val="0"/>
                <w:sz w:val="28"/>
                <w:szCs w:val="28"/>
              </w:rPr>
              <w:t>关于因所在私营企业单位歇业而离职的职工其连续工龄如何计算问题的答复</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5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4</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1988</w:t>
            </w:r>
            <w:r w:rsidRPr="000E4A48">
              <w:rPr>
                <w:rFonts w:eastAsia="仿宋_GB2312" w:hint="eastAsia"/>
                <w:bCs/>
                <w:kern w:val="0"/>
                <w:sz w:val="28"/>
                <w:szCs w:val="28"/>
              </w:rPr>
              <w:t>〕</w:t>
            </w:r>
            <w:r w:rsidRPr="000E4A48">
              <w:rPr>
                <w:rFonts w:eastAsia="仿宋_GB2312" w:hint="eastAsia"/>
                <w:bCs/>
                <w:kern w:val="0"/>
                <w:sz w:val="28"/>
                <w:szCs w:val="28"/>
              </w:rPr>
              <w:t>648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关于解决我市部分离休干部低工资问题的通知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5</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津劳仲〔</w:t>
            </w:r>
            <w:r w:rsidRPr="000E4A48">
              <w:rPr>
                <w:rFonts w:eastAsia="仿宋_GB2312" w:hint="eastAsia"/>
                <w:bCs/>
                <w:kern w:val="0"/>
                <w:sz w:val="28"/>
                <w:szCs w:val="28"/>
              </w:rPr>
              <w:t>1989</w:t>
            </w:r>
            <w:r w:rsidRPr="000E4A48">
              <w:rPr>
                <w:rFonts w:eastAsia="仿宋_GB2312" w:hint="eastAsia"/>
                <w:bCs/>
                <w:kern w:val="0"/>
                <w:sz w:val="28"/>
                <w:szCs w:val="28"/>
              </w:rPr>
              <w:t>〕</w:t>
            </w:r>
            <w:r w:rsidRPr="000E4A48">
              <w:rPr>
                <w:rFonts w:eastAsia="仿宋_GB2312" w:hint="eastAsia"/>
                <w:bCs/>
                <w:kern w:val="0"/>
                <w:sz w:val="28"/>
                <w:szCs w:val="28"/>
              </w:rPr>
              <w:t>271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关于对外商投资企业劳动合同进行鉴证的通知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lastRenderedPageBreak/>
              <w:t>6</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1990</w:t>
            </w:r>
            <w:r w:rsidRPr="000E4A48">
              <w:rPr>
                <w:rFonts w:eastAsia="仿宋_GB2312" w:hint="eastAsia"/>
                <w:bCs/>
                <w:kern w:val="0"/>
                <w:sz w:val="28"/>
                <w:szCs w:val="28"/>
              </w:rPr>
              <w:t>〕</w:t>
            </w:r>
            <w:r w:rsidRPr="000E4A48">
              <w:rPr>
                <w:rFonts w:eastAsia="仿宋_GB2312" w:hint="eastAsia"/>
                <w:bCs/>
                <w:kern w:val="0"/>
                <w:sz w:val="28"/>
                <w:szCs w:val="28"/>
              </w:rPr>
              <w:t>110</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关于我市退休养老基金结算管理办法的补充规定</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257"/>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7</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津职改字〔</w:t>
            </w:r>
            <w:r w:rsidRPr="000E4A48">
              <w:rPr>
                <w:rFonts w:eastAsia="仿宋_GB2312" w:hint="eastAsia"/>
                <w:bCs/>
                <w:kern w:val="0"/>
                <w:sz w:val="28"/>
                <w:szCs w:val="28"/>
              </w:rPr>
              <w:t>1993</w:t>
            </w:r>
            <w:r w:rsidRPr="000E4A48">
              <w:rPr>
                <w:rFonts w:eastAsia="仿宋_GB2312" w:hint="eastAsia"/>
                <w:bCs/>
                <w:kern w:val="0"/>
                <w:sz w:val="28"/>
                <w:szCs w:val="28"/>
              </w:rPr>
              <w:t>〕</w:t>
            </w:r>
            <w:r w:rsidRPr="000E4A48">
              <w:rPr>
                <w:rFonts w:eastAsia="仿宋_GB2312" w:hint="eastAsia"/>
                <w:bCs/>
                <w:kern w:val="0"/>
                <w:sz w:val="28"/>
                <w:szCs w:val="28"/>
              </w:rPr>
              <w:t>6</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关于印发《天津市专业技术资格评审程序的暂行规定》及《建立专业技术资格制度的暂行规定》的通知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8</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津职改字〔</w:t>
            </w:r>
            <w:r w:rsidRPr="000E4A48">
              <w:rPr>
                <w:rFonts w:eastAsia="仿宋_GB2312" w:hint="eastAsia"/>
                <w:bCs/>
                <w:kern w:val="0"/>
                <w:sz w:val="28"/>
                <w:szCs w:val="28"/>
              </w:rPr>
              <w:t>1993</w:t>
            </w:r>
            <w:r w:rsidRPr="000E4A48">
              <w:rPr>
                <w:rFonts w:eastAsia="仿宋_GB2312" w:hint="eastAsia"/>
                <w:bCs/>
                <w:kern w:val="0"/>
                <w:sz w:val="28"/>
                <w:szCs w:val="28"/>
              </w:rPr>
              <w:t>〕</w:t>
            </w:r>
            <w:r w:rsidRPr="000E4A48">
              <w:rPr>
                <w:rFonts w:eastAsia="仿宋_GB2312" w:hint="eastAsia"/>
                <w:bCs/>
                <w:kern w:val="0"/>
                <w:sz w:val="28"/>
                <w:szCs w:val="28"/>
              </w:rPr>
              <w:t>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关于印发《天津市专业技术资格评审委员会组织办法》的通知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9</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津职改字〔</w:t>
            </w:r>
            <w:r w:rsidRPr="000E4A48">
              <w:rPr>
                <w:rFonts w:eastAsia="仿宋_GB2312" w:hint="eastAsia"/>
                <w:bCs/>
                <w:kern w:val="0"/>
                <w:sz w:val="28"/>
                <w:szCs w:val="28"/>
              </w:rPr>
              <w:t>1993</w:t>
            </w:r>
            <w:r w:rsidRPr="000E4A48">
              <w:rPr>
                <w:rFonts w:eastAsia="仿宋_GB2312" w:hint="eastAsia"/>
                <w:bCs/>
                <w:kern w:val="0"/>
                <w:sz w:val="28"/>
                <w:szCs w:val="28"/>
              </w:rPr>
              <w:t>〕</w:t>
            </w:r>
            <w:r w:rsidRPr="000E4A48">
              <w:rPr>
                <w:rFonts w:eastAsia="仿宋_GB2312" w:hint="eastAsia"/>
                <w:bCs/>
                <w:kern w:val="0"/>
                <w:sz w:val="28"/>
                <w:szCs w:val="28"/>
              </w:rPr>
              <w:t>58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关于下发《天津市卫生技术高级资格评审标准（试行）》的通知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10</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津职改字〔</w:t>
            </w:r>
            <w:r w:rsidRPr="000E4A48">
              <w:rPr>
                <w:rFonts w:eastAsia="仿宋_GB2312" w:hint="eastAsia"/>
                <w:bCs/>
                <w:kern w:val="0"/>
                <w:sz w:val="28"/>
                <w:szCs w:val="28"/>
              </w:rPr>
              <w:t>1993</w:t>
            </w:r>
            <w:r w:rsidRPr="000E4A48">
              <w:rPr>
                <w:rFonts w:eastAsia="仿宋_GB2312" w:hint="eastAsia"/>
                <w:bCs/>
                <w:kern w:val="0"/>
                <w:sz w:val="28"/>
                <w:szCs w:val="28"/>
              </w:rPr>
              <w:t>〕</w:t>
            </w:r>
            <w:r w:rsidRPr="000E4A48">
              <w:rPr>
                <w:rFonts w:eastAsia="仿宋_GB2312" w:hint="eastAsia"/>
                <w:bCs/>
                <w:kern w:val="0"/>
                <w:sz w:val="28"/>
                <w:szCs w:val="28"/>
              </w:rPr>
              <w:t>59</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关于下发《天津市一九九三年卫生技术中级资格评审标准（试行）》的通知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75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11</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津职改字〔</w:t>
            </w:r>
            <w:r w:rsidRPr="000E4A48">
              <w:rPr>
                <w:rFonts w:eastAsia="仿宋_GB2312" w:hint="eastAsia"/>
                <w:bCs/>
                <w:kern w:val="0"/>
                <w:sz w:val="28"/>
                <w:szCs w:val="28"/>
              </w:rPr>
              <w:t>1993</w:t>
            </w:r>
            <w:r w:rsidRPr="000E4A48">
              <w:rPr>
                <w:rFonts w:eastAsia="仿宋_GB2312" w:hint="eastAsia"/>
                <w:bCs/>
                <w:kern w:val="0"/>
                <w:sz w:val="28"/>
                <w:szCs w:val="28"/>
              </w:rPr>
              <w:t>〕</w:t>
            </w:r>
            <w:r w:rsidRPr="000E4A48">
              <w:rPr>
                <w:rFonts w:eastAsia="仿宋_GB2312" w:hint="eastAsia"/>
                <w:bCs/>
                <w:kern w:val="0"/>
                <w:sz w:val="28"/>
                <w:szCs w:val="28"/>
              </w:rPr>
              <w:t>61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关于下发《天津市体育教练员专业高级教练、教练资格评审标准（试行）》的通知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12</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津职改字〔</w:t>
            </w:r>
            <w:r w:rsidRPr="000E4A48">
              <w:rPr>
                <w:rFonts w:eastAsia="仿宋_GB2312" w:hint="eastAsia"/>
                <w:bCs/>
                <w:kern w:val="0"/>
                <w:sz w:val="28"/>
                <w:szCs w:val="28"/>
              </w:rPr>
              <w:t>1993</w:t>
            </w:r>
            <w:r w:rsidRPr="000E4A48">
              <w:rPr>
                <w:rFonts w:eastAsia="仿宋_GB2312" w:hint="eastAsia"/>
                <w:bCs/>
                <w:kern w:val="0"/>
                <w:sz w:val="28"/>
                <w:szCs w:val="28"/>
              </w:rPr>
              <w:t>〕</w:t>
            </w:r>
            <w:r w:rsidRPr="000E4A48">
              <w:rPr>
                <w:rFonts w:eastAsia="仿宋_GB2312" w:hint="eastAsia"/>
                <w:bCs/>
                <w:kern w:val="0"/>
                <w:sz w:val="28"/>
                <w:szCs w:val="28"/>
              </w:rPr>
              <w:t>63</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关于下发《天津市中等专业学校高级讲师、讲师资格评审标准（试行）》的通知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13</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津职改字〔</w:t>
            </w:r>
            <w:r w:rsidRPr="000E4A48">
              <w:rPr>
                <w:rFonts w:eastAsia="仿宋_GB2312" w:hint="eastAsia"/>
                <w:bCs/>
                <w:kern w:val="0"/>
                <w:sz w:val="28"/>
                <w:szCs w:val="28"/>
              </w:rPr>
              <w:t>1993</w:t>
            </w:r>
            <w:r w:rsidRPr="000E4A48">
              <w:rPr>
                <w:rFonts w:eastAsia="仿宋_GB2312" w:hint="eastAsia"/>
                <w:bCs/>
                <w:kern w:val="0"/>
                <w:sz w:val="28"/>
                <w:szCs w:val="28"/>
              </w:rPr>
              <w:t>〕</w:t>
            </w:r>
            <w:r w:rsidRPr="000E4A48">
              <w:rPr>
                <w:rFonts w:eastAsia="仿宋_GB2312" w:hint="eastAsia"/>
                <w:bCs/>
                <w:kern w:val="0"/>
                <w:sz w:val="28"/>
                <w:szCs w:val="28"/>
              </w:rPr>
              <w:t>64</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关于下发《天津市成人高等学校教师副教授、讲师资格评审标准（试行）》的通知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50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14</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1993</w:t>
            </w:r>
            <w:r w:rsidRPr="000E4A48">
              <w:rPr>
                <w:rFonts w:eastAsia="仿宋_GB2312" w:hint="eastAsia"/>
                <w:bCs/>
                <w:kern w:val="0"/>
                <w:sz w:val="28"/>
                <w:szCs w:val="28"/>
              </w:rPr>
              <w:t>〕</w:t>
            </w:r>
            <w:r w:rsidRPr="000E4A48">
              <w:rPr>
                <w:rFonts w:eastAsia="仿宋_GB2312" w:hint="eastAsia"/>
                <w:bCs/>
                <w:kern w:val="0"/>
                <w:sz w:val="28"/>
                <w:szCs w:val="28"/>
              </w:rPr>
              <w:t>417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对尚未参加全市养老保险社会统筹的企业有关问题的通知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50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15</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1994</w:t>
            </w:r>
            <w:r w:rsidRPr="000E4A48">
              <w:rPr>
                <w:rFonts w:eastAsia="仿宋_GB2312" w:hint="eastAsia"/>
                <w:bCs/>
                <w:kern w:val="0"/>
                <w:sz w:val="28"/>
                <w:szCs w:val="28"/>
              </w:rPr>
              <w:t>〕</w:t>
            </w:r>
            <w:r w:rsidRPr="000E4A48">
              <w:rPr>
                <w:rFonts w:eastAsia="仿宋_GB2312" w:hint="eastAsia"/>
                <w:bCs/>
                <w:kern w:val="0"/>
                <w:sz w:val="28"/>
                <w:szCs w:val="28"/>
              </w:rPr>
              <w:t>25</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关于下发《天津市审计专业高级审计师资格评审标准（试行）》的通知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16</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1994</w:t>
            </w:r>
            <w:r w:rsidRPr="000E4A48">
              <w:rPr>
                <w:rFonts w:eastAsia="仿宋_GB2312" w:hint="eastAsia"/>
                <w:bCs/>
                <w:kern w:val="0"/>
                <w:sz w:val="28"/>
                <w:szCs w:val="28"/>
              </w:rPr>
              <w:t>〕</w:t>
            </w:r>
            <w:r w:rsidRPr="000E4A48">
              <w:rPr>
                <w:rFonts w:eastAsia="仿宋_GB2312" w:hint="eastAsia"/>
                <w:bCs/>
                <w:kern w:val="0"/>
                <w:sz w:val="28"/>
                <w:szCs w:val="28"/>
              </w:rPr>
              <w:t>33</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关于下发《天津市技工学校教师高、中级资格评审标准（试行）》的通知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75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17</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1995</w:t>
            </w:r>
            <w:r w:rsidRPr="000E4A48">
              <w:rPr>
                <w:rFonts w:eastAsia="仿宋_GB2312" w:hint="eastAsia"/>
                <w:bCs/>
                <w:kern w:val="0"/>
                <w:sz w:val="28"/>
                <w:szCs w:val="28"/>
              </w:rPr>
              <w:t>〕</w:t>
            </w:r>
            <w:r w:rsidRPr="000E4A48">
              <w:rPr>
                <w:rFonts w:eastAsia="仿宋_GB2312" w:hint="eastAsia"/>
                <w:bCs/>
                <w:kern w:val="0"/>
                <w:sz w:val="28"/>
                <w:szCs w:val="28"/>
              </w:rPr>
              <w:t>92</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关于行政公司转企业公司前已退休人员增加养老金的通知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18</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1995</w:t>
            </w:r>
            <w:r w:rsidRPr="000E4A48">
              <w:rPr>
                <w:rFonts w:eastAsia="仿宋_GB2312" w:hint="eastAsia"/>
                <w:bCs/>
                <w:kern w:val="0"/>
                <w:sz w:val="28"/>
                <w:szCs w:val="28"/>
              </w:rPr>
              <w:t>〕</w:t>
            </w:r>
            <w:r w:rsidRPr="000E4A48">
              <w:rPr>
                <w:rFonts w:eastAsia="仿宋_GB2312" w:hint="eastAsia"/>
                <w:bCs/>
                <w:kern w:val="0"/>
                <w:sz w:val="28"/>
                <w:szCs w:val="28"/>
              </w:rPr>
              <w:t>268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关于计划内临时工（农业户口）转非招工后有关连续工龄和缴费问题的通知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19</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1995</w:t>
            </w:r>
            <w:r w:rsidRPr="000E4A48">
              <w:rPr>
                <w:rFonts w:eastAsia="仿宋_GB2312" w:hint="eastAsia"/>
                <w:bCs/>
                <w:kern w:val="0"/>
                <w:sz w:val="28"/>
                <w:szCs w:val="28"/>
              </w:rPr>
              <w:t>〕</w:t>
            </w:r>
            <w:r w:rsidRPr="000E4A48">
              <w:rPr>
                <w:rFonts w:eastAsia="仿宋_GB2312" w:hint="eastAsia"/>
                <w:bCs/>
                <w:kern w:val="0"/>
                <w:sz w:val="28"/>
                <w:szCs w:val="28"/>
              </w:rPr>
              <w:t>391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关于城镇企业职工养老保险基金结算办法实行统收统付试点的通知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20</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1995</w:t>
            </w:r>
            <w:r w:rsidRPr="000E4A48">
              <w:rPr>
                <w:rFonts w:eastAsia="仿宋_GB2312" w:hint="eastAsia"/>
                <w:bCs/>
                <w:kern w:val="0"/>
                <w:sz w:val="28"/>
                <w:szCs w:val="28"/>
              </w:rPr>
              <w:t>〕</w:t>
            </w:r>
            <w:r w:rsidRPr="000E4A48">
              <w:rPr>
                <w:rFonts w:eastAsia="仿宋_GB2312" w:hint="eastAsia"/>
                <w:bCs/>
                <w:kern w:val="0"/>
                <w:sz w:val="28"/>
                <w:szCs w:val="28"/>
              </w:rPr>
              <w:t>463</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对贯彻落实市政府津政办发〔</w:t>
            </w:r>
            <w:r w:rsidRPr="000E4A48">
              <w:rPr>
                <w:rFonts w:eastAsia="仿宋_GB2312" w:hint="eastAsia"/>
                <w:bCs/>
                <w:kern w:val="0"/>
                <w:sz w:val="28"/>
                <w:szCs w:val="28"/>
              </w:rPr>
              <w:t>1995</w:t>
            </w:r>
            <w:r w:rsidRPr="000E4A48">
              <w:rPr>
                <w:rFonts w:eastAsia="仿宋_GB2312" w:hint="eastAsia"/>
                <w:bCs/>
                <w:kern w:val="0"/>
                <w:sz w:val="28"/>
                <w:szCs w:val="28"/>
              </w:rPr>
              <w:t>〕</w:t>
            </w:r>
            <w:r w:rsidRPr="000E4A48">
              <w:rPr>
                <w:rFonts w:eastAsia="仿宋_GB2312" w:hint="eastAsia"/>
                <w:bCs/>
                <w:kern w:val="0"/>
                <w:sz w:val="28"/>
                <w:szCs w:val="28"/>
              </w:rPr>
              <w:t>29</w:t>
            </w:r>
            <w:r w:rsidRPr="000E4A48">
              <w:rPr>
                <w:rFonts w:eastAsia="仿宋_GB2312" w:hint="eastAsia"/>
                <w:bCs/>
                <w:kern w:val="0"/>
                <w:sz w:val="28"/>
                <w:szCs w:val="28"/>
              </w:rPr>
              <w:t>号文件有关问题的补充通知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21</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1995</w:t>
            </w:r>
            <w:r w:rsidRPr="000E4A48">
              <w:rPr>
                <w:rFonts w:eastAsia="仿宋_GB2312" w:hint="eastAsia"/>
                <w:bCs/>
                <w:kern w:val="0"/>
                <w:sz w:val="28"/>
                <w:szCs w:val="28"/>
              </w:rPr>
              <w:t>〕</w:t>
            </w:r>
            <w:r w:rsidRPr="000E4A48">
              <w:rPr>
                <w:rFonts w:eastAsia="仿宋_GB2312" w:hint="eastAsia"/>
                <w:bCs/>
                <w:kern w:val="0"/>
                <w:sz w:val="28"/>
                <w:szCs w:val="28"/>
              </w:rPr>
              <w:t>487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w:t>
            </w:r>
            <w:r w:rsidRPr="000E4A48">
              <w:rPr>
                <w:rFonts w:eastAsia="仿宋_GB2312" w:hint="eastAsia"/>
                <w:bCs/>
                <w:kern w:val="0"/>
                <w:sz w:val="28"/>
                <w:szCs w:val="28"/>
              </w:rPr>
              <w:t>1996</w:t>
            </w:r>
            <w:r w:rsidRPr="000E4A48">
              <w:rPr>
                <w:rFonts w:eastAsia="仿宋_GB2312" w:hint="eastAsia"/>
                <w:bCs/>
                <w:kern w:val="0"/>
                <w:sz w:val="28"/>
                <w:szCs w:val="28"/>
              </w:rPr>
              <w:t>年初到达退休年龄的企业职工如何办理退休手续的通知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22</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1996</w:t>
            </w:r>
            <w:r w:rsidRPr="000E4A48">
              <w:rPr>
                <w:rFonts w:eastAsia="仿宋_GB2312" w:hint="eastAsia"/>
                <w:bCs/>
                <w:kern w:val="0"/>
                <w:sz w:val="28"/>
                <w:szCs w:val="28"/>
              </w:rPr>
              <w:t>〕</w:t>
            </w:r>
            <w:r w:rsidRPr="000E4A48">
              <w:rPr>
                <w:rFonts w:eastAsia="仿宋_GB2312" w:hint="eastAsia"/>
                <w:bCs/>
                <w:kern w:val="0"/>
                <w:sz w:val="28"/>
                <w:szCs w:val="28"/>
              </w:rPr>
              <w:t>120</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关于给城镇企业离退休人员增加生活补贴的通知</w:t>
            </w:r>
          </w:p>
        </w:tc>
        <w:tc>
          <w:tcPr>
            <w:tcW w:w="61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23</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1996</w:t>
            </w:r>
            <w:r w:rsidRPr="000E4A48">
              <w:rPr>
                <w:rFonts w:eastAsia="仿宋_GB2312" w:hint="eastAsia"/>
                <w:bCs/>
                <w:kern w:val="0"/>
                <w:sz w:val="28"/>
                <w:szCs w:val="28"/>
              </w:rPr>
              <w:t>〕</w:t>
            </w:r>
            <w:r w:rsidRPr="000E4A48">
              <w:rPr>
                <w:rFonts w:eastAsia="仿宋_GB2312" w:hint="eastAsia"/>
                <w:bCs/>
                <w:kern w:val="0"/>
                <w:sz w:val="28"/>
                <w:szCs w:val="28"/>
              </w:rPr>
              <w:t>121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关于适当提高退养人员退养费标准的通知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500"/>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24</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1997</w:t>
            </w:r>
            <w:r w:rsidRPr="000E4A48">
              <w:rPr>
                <w:rFonts w:eastAsia="仿宋_GB2312" w:hint="eastAsia"/>
                <w:bCs/>
                <w:kern w:val="0"/>
                <w:sz w:val="28"/>
                <w:szCs w:val="28"/>
              </w:rPr>
              <w:t>〕</w:t>
            </w:r>
            <w:r w:rsidRPr="000E4A48">
              <w:rPr>
                <w:rFonts w:eastAsia="仿宋_GB2312" w:hint="eastAsia"/>
                <w:bCs/>
                <w:kern w:val="0"/>
                <w:sz w:val="28"/>
                <w:szCs w:val="28"/>
              </w:rPr>
              <w:t>13</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天津市人事局、天津市教育委员会关于印发《天津市成人高等学校教师职务岗位设置及结构比例的意见（试行）》的通知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125"/>
          <w:jc w:val="center"/>
        </w:trPr>
        <w:tc>
          <w:tcPr>
            <w:tcW w:w="342" w:type="pct"/>
            <w:shd w:val="clear" w:color="auto" w:fill="auto"/>
            <w:vAlign w:val="center"/>
          </w:tcPr>
          <w:p w:rsidR="00FF7733" w:rsidRPr="000E4A48" w:rsidRDefault="00FF7733" w:rsidP="00F54EC3">
            <w:pPr>
              <w:widowControl/>
              <w:jc w:val="center"/>
              <w:rPr>
                <w:rFonts w:eastAsia="仿宋_GB2312"/>
                <w:bCs/>
                <w:kern w:val="0"/>
                <w:sz w:val="28"/>
                <w:szCs w:val="28"/>
              </w:rPr>
            </w:pPr>
            <w:r w:rsidRPr="000E4A48">
              <w:rPr>
                <w:rFonts w:eastAsia="仿宋_GB2312" w:hint="eastAsia"/>
                <w:bCs/>
                <w:kern w:val="0"/>
                <w:sz w:val="28"/>
                <w:szCs w:val="28"/>
              </w:rPr>
              <w:t>25</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1998</w:t>
            </w:r>
            <w:r w:rsidRPr="000E4A48">
              <w:rPr>
                <w:rFonts w:eastAsia="仿宋_GB2312" w:hint="eastAsia"/>
                <w:bCs/>
                <w:kern w:val="0"/>
                <w:sz w:val="28"/>
                <w:szCs w:val="28"/>
              </w:rPr>
              <w:t>〕</w:t>
            </w:r>
            <w:r w:rsidRPr="000E4A48">
              <w:rPr>
                <w:rFonts w:eastAsia="仿宋_GB2312" w:hint="eastAsia"/>
                <w:bCs/>
                <w:kern w:val="0"/>
                <w:sz w:val="28"/>
                <w:szCs w:val="28"/>
              </w:rPr>
              <w:t>230</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关于暂缓调整国有、城镇集体企业职工缴纳基本养老保险费基数的通知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26</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1998</w:t>
            </w:r>
            <w:r w:rsidRPr="000E4A48">
              <w:rPr>
                <w:rFonts w:eastAsia="仿宋_GB2312" w:hint="eastAsia"/>
                <w:bCs/>
                <w:kern w:val="0"/>
                <w:sz w:val="28"/>
                <w:szCs w:val="28"/>
              </w:rPr>
              <w:t>〕</w:t>
            </w:r>
            <w:r w:rsidRPr="000E4A48">
              <w:rPr>
                <w:rFonts w:eastAsia="仿宋_GB2312" w:hint="eastAsia"/>
                <w:bCs/>
                <w:kern w:val="0"/>
                <w:sz w:val="28"/>
                <w:szCs w:val="28"/>
              </w:rPr>
              <w:t>439</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关于印发《天津市实行劳动合同制度若干问题的补充规定》的通知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27</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15</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关于中央十一行业驻津单位基本养老保险有关问题的通知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28</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16</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关于转发劳动和社会保障部、财政部《关于核对原行业统筹项目的通知》的通知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29</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99</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关于逐步取消基本养老金“补齐”办法的通知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30</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221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关于城镇企业职工个人帐户对帐中反映连续工龄审核等有关问题的处理意见</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31</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272</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关于核定铁道行业驻津企业养老保险统筹项目的通知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32</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273</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关于核定铁道部第三勘测设计院养老保险统筹项目的通知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33</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274</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关于核定交通行业驻津企业养老保险统筹项目的通知</w:t>
            </w:r>
          </w:p>
        </w:tc>
        <w:tc>
          <w:tcPr>
            <w:tcW w:w="61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810"/>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34</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275</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关于核定邮电行业驻津企业养老保险统筹项目的通知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675"/>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35</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276</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关于核定中建行业驻津企业养老保险统筹项目的通知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36</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277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关于核定有色行业驻津企业养老保险统筹项目的通知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37</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278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关于核定电力行业驻津企业养老保险统筹项目的通知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38</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279</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关于核定石油行业驻津单位养老保险统筹项目的通知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39</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280</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关于核定金融行业驻津单位养老保险统筹项目的通知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40</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281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关于核定中国交通银行天津分行养老保险统筹项目的通知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360" w:lineRule="exact"/>
              <w:jc w:val="center"/>
              <w:rPr>
                <w:rFonts w:eastAsia="仿宋_GB2312"/>
                <w:bCs/>
                <w:sz w:val="28"/>
                <w:szCs w:val="28"/>
              </w:rPr>
            </w:pPr>
            <w:r w:rsidRPr="000E4A48">
              <w:rPr>
                <w:rFonts w:eastAsia="仿宋_GB2312" w:hint="eastAsia"/>
                <w:bCs/>
                <w:sz w:val="28"/>
                <w:szCs w:val="28"/>
              </w:rPr>
              <w:t>41</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282</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关于核定原煤炭行业驻津企业养老保险统筹项目的通知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50" w:before="468" w:line="720" w:lineRule="auto"/>
              <w:jc w:val="center"/>
              <w:rPr>
                <w:rFonts w:eastAsia="仿宋_GB2312"/>
                <w:bCs/>
                <w:sz w:val="28"/>
                <w:szCs w:val="28"/>
              </w:rPr>
            </w:pPr>
            <w:r w:rsidRPr="000E4A48">
              <w:rPr>
                <w:rFonts w:eastAsia="仿宋_GB2312" w:hint="eastAsia"/>
                <w:bCs/>
                <w:sz w:val="28"/>
                <w:szCs w:val="28"/>
              </w:rPr>
              <w:t>42</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339</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关于核定民航行业驻津企业养老保险统筹项目的通知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43</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津劳险〔</w:t>
            </w:r>
            <w:r w:rsidRPr="000E4A48">
              <w:rPr>
                <w:rFonts w:eastAsia="仿宋_GB2312" w:hint="eastAsia"/>
                <w:bCs/>
                <w:kern w:val="0"/>
                <w:sz w:val="28"/>
                <w:szCs w:val="28"/>
              </w:rPr>
              <w:t>1999</w:t>
            </w:r>
            <w:r w:rsidRPr="000E4A48">
              <w:rPr>
                <w:rFonts w:eastAsia="仿宋_GB2312" w:hint="eastAsia"/>
                <w:bCs/>
                <w:kern w:val="0"/>
                <w:sz w:val="28"/>
                <w:szCs w:val="28"/>
              </w:rPr>
              <w:t>〕</w:t>
            </w:r>
            <w:r w:rsidRPr="000E4A48">
              <w:rPr>
                <w:rFonts w:eastAsia="仿宋_GB2312" w:hint="eastAsia"/>
                <w:bCs/>
                <w:kern w:val="0"/>
                <w:sz w:val="28"/>
                <w:szCs w:val="28"/>
              </w:rPr>
              <w:t>406</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关于对各级各类职业介绍机构代办养老保险有关问题的意见</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44</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147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关于印发《天津市劳动保障行政确认暂行管理办法》的通知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45</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148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关于印发《天津市劳动保障行政审批暂行管理办法》的通知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9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46</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150</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关于做好天津经济技术开发区调出、调入职工养老保险转移工作的通知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58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47</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214</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关于转制科研院所参加城镇企业职工养老保险社会统筹有关问题的通知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84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48</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186</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关于印发《关于出企业再就业服务中心协议保留社会保险关系人员缴纳基本养老保险费的实施办法》的通知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color w:val="000000"/>
                <w:sz w:val="28"/>
                <w:szCs w:val="28"/>
              </w:rPr>
            </w:pPr>
            <w:r w:rsidRPr="000E4A48">
              <w:rPr>
                <w:rFonts w:eastAsia="仿宋_GB2312" w:hint="eastAsia"/>
                <w:bCs/>
                <w:color w:val="000000"/>
                <w:sz w:val="28"/>
                <w:szCs w:val="28"/>
              </w:rPr>
              <w:t>49</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277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关于转制科研院所参加城镇企业职工养老保险社会统筹有关问题的补充意见</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55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50</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444</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关于律师事务所参加我市养老保险社会统筹有关问题的补充意见</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82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51</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296</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关于律师事务所参加我市养老保险社会统筹有关问题的通知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55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52</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33</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天津市人事局关于印发《天津市社会科学研究系列卫生事业管理研究专业中、高级资格评审标准（试行）》的通知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64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53</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439</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关于基本养老金社会化发放有关问题的通知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54</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2000</w:t>
            </w:r>
            <w:r w:rsidRPr="000E4A48">
              <w:rPr>
                <w:rFonts w:eastAsia="仿宋_GB2312" w:hint="eastAsia"/>
                <w:bCs/>
                <w:kern w:val="0"/>
                <w:sz w:val="28"/>
                <w:szCs w:val="28"/>
              </w:rPr>
              <w:t>〕</w:t>
            </w:r>
            <w:r w:rsidRPr="000E4A48">
              <w:rPr>
                <w:rFonts w:eastAsia="仿宋_GB2312" w:hint="eastAsia"/>
                <w:bCs/>
                <w:kern w:val="0"/>
                <w:sz w:val="28"/>
                <w:szCs w:val="28"/>
              </w:rPr>
              <w:t>470</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关于全市职工月平均工资公布之前到达国家法定退休年龄职工办理退休问题的通知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55</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17</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关于适当调整两航起义人员退休待遇的通知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56</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78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关于妥善解决有偿解除劳动合同人员续接养老保险关系问题的通知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57</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91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关于对企业离休人员增加养老金的通知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58</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129</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关于转制勘察设计单位和科研机构参加城镇企业职工养老保险社会统筹有关问题的通知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66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59</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130</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关于会计师事务所参加城镇企业养老保险社会统筹有关问题的通知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60</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2001</w:t>
            </w:r>
            <w:r w:rsidRPr="000E4A48">
              <w:rPr>
                <w:rFonts w:eastAsia="仿宋_GB2312" w:hint="eastAsia"/>
                <w:bCs/>
                <w:kern w:val="0"/>
                <w:sz w:val="28"/>
                <w:szCs w:val="28"/>
              </w:rPr>
              <w:t>〕</w:t>
            </w:r>
            <w:r w:rsidRPr="000E4A48">
              <w:rPr>
                <w:rFonts w:eastAsia="仿宋_GB2312" w:hint="eastAsia"/>
                <w:bCs/>
                <w:kern w:val="0"/>
                <w:sz w:val="28"/>
                <w:szCs w:val="28"/>
              </w:rPr>
              <w:t>295</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关于对用人单位及其劳动保障管理人员实行劳动和社会保障政策会员制管理的通知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61</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39</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关于适当提高退养人员退养费标准的通知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62</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40</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天津市人事局关于转发《人事部、全国博士后管委会关于印发</w:t>
            </w:r>
            <w:r w:rsidRPr="000E4A48">
              <w:rPr>
                <w:rFonts w:eastAsia="仿宋_GB2312" w:hint="eastAsia"/>
                <w:bCs/>
                <w:kern w:val="0"/>
                <w:sz w:val="28"/>
                <w:szCs w:val="28"/>
              </w:rPr>
              <w:t>&lt;</w:t>
            </w:r>
            <w:r w:rsidRPr="000E4A48">
              <w:rPr>
                <w:rFonts w:eastAsia="仿宋_GB2312" w:hint="eastAsia"/>
                <w:bCs/>
                <w:kern w:val="0"/>
                <w:sz w:val="28"/>
                <w:szCs w:val="28"/>
              </w:rPr>
              <w:t>博士后管理工作规定</w:t>
            </w:r>
            <w:r w:rsidRPr="000E4A48">
              <w:rPr>
                <w:rFonts w:eastAsia="仿宋_GB2312" w:hint="eastAsia"/>
                <w:bCs/>
                <w:kern w:val="0"/>
                <w:sz w:val="28"/>
                <w:szCs w:val="28"/>
              </w:rPr>
              <w:t>&gt;</w:t>
            </w:r>
            <w:r w:rsidRPr="000E4A48">
              <w:rPr>
                <w:rFonts w:eastAsia="仿宋_GB2312" w:hint="eastAsia"/>
                <w:bCs/>
                <w:kern w:val="0"/>
                <w:sz w:val="28"/>
                <w:szCs w:val="28"/>
              </w:rPr>
              <w:t>的通知》的通知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63</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311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关于适当提高退养人员退养费标准的通知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64</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关于提高城镇企业职工个人缴纳基本养老保险费比例一个百分点的通知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65</w:t>
            </w:r>
          </w:p>
        </w:tc>
        <w:tc>
          <w:tcPr>
            <w:tcW w:w="1262" w:type="pct"/>
            <w:shd w:val="clear" w:color="000000" w:fill="FFFFFF"/>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2002</w:t>
            </w:r>
            <w:r w:rsidRPr="000E4A48">
              <w:rPr>
                <w:rFonts w:eastAsia="仿宋_GB2312" w:hint="eastAsia"/>
                <w:bCs/>
                <w:kern w:val="0"/>
                <w:sz w:val="28"/>
                <w:szCs w:val="28"/>
              </w:rPr>
              <w:t>〕</w:t>
            </w:r>
            <w:r w:rsidRPr="000E4A48">
              <w:rPr>
                <w:rFonts w:eastAsia="仿宋_GB2312" w:hint="eastAsia"/>
                <w:bCs/>
                <w:kern w:val="0"/>
                <w:sz w:val="28"/>
                <w:szCs w:val="28"/>
              </w:rPr>
              <w:t>432</w:t>
            </w:r>
            <w:r w:rsidRPr="000E4A48">
              <w:rPr>
                <w:rFonts w:eastAsia="仿宋_GB2312" w:hint="eastAsia"/>
                <w:bCs/>
                <w:kern w:val="0"/>
                <w:sz w:val="28"/>
                <w:szCs w:val="28"/>
              </w:rPr>
              <w:t>号</w:t>
            </w:r>
          </w:p>
        </w:tc>
        <w:tc>
          <w:tcPr>
            <w:tcW w:w="1851" w:type="pct"/>
            <w:shd w:val="clear" w:color="000000" w:fill="FFFFFF"/>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关于提高城镇企业职工个人缴纳基本养老保险费比例一个百分点的通知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66</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18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关于国有大中型企业实行主辅分离辅业改制安置富余人员的认定办法</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12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67</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2003</w:t>
            </w:r>
            <w:r w:rsidRPr="000E4A48">
              <w:rPr>
                <w:rFonts w:eastAsia="仿宋_GB2312" w:hint="eastAsia"/>
                <w:bCs/>
                <w:kern w:val="0"/>
                <w:sz w:val="28"/>
                <w:szCs w:val="28"/>
              </w:rPr>
              <w:t>〕</w:t>
            </w:r>
            <w:r w:rsidRPr="000E4A48">
              <w:rPr>
                <w:rFonts w:eastAsia="仿宋_GB2312" w:hint="eastAsia"/>
                <w:bCs/>
                <w:kern w:val="0"/>
                <w:sz w:val="28"/>
                <w:szCs w:val="28"/>
              </w:rPr>
              <w:t>355</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关于印发《建立失业保险、城镇居民最低生活保障与促进就业联动机制的实施办法》的通知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57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68</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津劳局〔</w:t>
            </w:r>
            <w:r w:rsidRPr="000E4A48">
              <w:rPr>
                <w:rFonts w:eastAsia="仿宋_GB2312" w:hint="eastAsia"/>
                <w:bCs/>
                <w:kern w:val="0"/>
                <w:sz w:val="28"/>
                <w:szCs w:val="28"/>
              </w:rPr>
              <w:t>2004</w:t>
            </w:r>
            <w:r w:rsidRPr="000E4A48">
              <w:rPr>
                <w:rFonts w:eastAsia="仿宋_GB2312" w:hint="eastAsia"/>
                <w:bCs/>
                <w:kern w:val="0"/>
                <w:sz w:val="28"/>
                <w:szCs w:val="28"/>
              </w:rPr>
              <w:t>〕</w:t>
            </w:r>
            <w:r w:rsidRPr="000E4A48">
              <w:rPr>
                <w:rFonts w:eastAsia="仿宋_GB2312" w:hint="eastAsia"/>
                <w:bCs/>
                <w:kern w:val="0"/>
                <w:sz w:val="28"/>
                <w:szCs w:val="28"/>
              </w:rPr>
              <w:t>76</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关于对我市武清区、宝坻区、静海县等原五县所属企业及其职工缴纳社会保险费的“缴费基数最低标准”进行适当调整的通知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55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69</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2004</w:t>
            </w:r>
            <w:r w:rsidRPr="000E4A48">
              <w:rPr>
                <w:rFonts w:eastAsia="仿宋_GB2312" w:hint="eastAsia"/>
                <w:bCs/>
                <w:kern w:val="0"/>
                <w:sz w:val="28"/>
                <w:szCs w:val="28"/>
              </w:rPr>
              <w:t>〕</w:t>
            </w:r>
            <w:r w:rsidRPr="000E4A48">
              <w:rPr>
                <w:rFonts w:eastAsia="仿宋_GB2312" w:hint="eastAsia"/>
                <w:bCs/>
                <w:kern w:val="0"/>
                <w:sz w:val="28"/>
                <w:szCs w:val="28"/>
              </w:rPr>
              <w:t>204</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关于印发《市劳动局办理劳动保障行政事务办法（试行）》的通知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615"/>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70</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津劳办〔</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12</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关于实行劳动保障政策水平认证工作的通知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color w:val="FF0000"/>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63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71</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51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天津市人事局关于建立博士后创新实践基地有关问题的通知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108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72</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津人专〔</w:t>
            </w:r>
            <w:r w:rsidRPr="000E4A48">
              <w:rPr>
                <w:rFonts w:eastAsia="仿宋_GB2312" w:hint="eastAsia"/>
                <w:bCs/>
                <w:kern w:val="0"/>
                <w:sz w:val="28"/>
                <w:szCs w:val="28"/>
              </w:rPr>
              <w:t>2005</w:t>
            </w:r>
            <w:r w:rsidRPr="000E4A48">
              <w:rPr>
                <w:rFonts w:eastAsia="仿宋_GB2312" w:hint="eastAsia"/>
                <w:bCs/>
                <w:kern w:val="0"/>
                <w:sz w:val="28"/>
                <w:szCs w:val="28"/>
              </w:rPr>
              <w:t>〕</w:t>
            </w:r>
            <w:r w:rsidRPr="000E4A48">
              <w:rPr>
                <w:rFonts w:eastAsia="仿宋_GB2312" w:hint="eastAsia"/>
                <w:bCs/>
                <w:kern w:val="0"/>
                <w:sz w:val="28"/>
                <w:szCs w:val="28"/>
              </w:rPr>
              <w:t>12</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天津市人事局关于在滨海新区支柱产业和高新技术企业开展职称水平评价试点工作的通知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未明确有效期但已不再执行</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73</w:t>
            </w:r>
          </w:p>
        </w:tc>
        <w:tc>
          <w:tcPr>
            <w:tcW w:w="126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津人〔</w:t>
            </w:r>
            <w:r w:rsidRPr="000E4A48">
              <w:rPr>
                <w:rFonts w:eastAsia="仿宋_GB2312" w:hint="eastAsia"/>
                <w:bCs/>
                <w:kern w:val="0"/>
                <w:sz w:val="28"/>
                <w:szCs w:val="28"/>
              </w:rPr>
              <w:t>2006</w:t>
            </w:r>
            <w:r w:rsidRPr="000E4A48">
              <w:rPr>
                <w:rFonts w:eastAsia="仿宋_GB2312" w:hint="eastAsia"/>
                <w:bCs/>
                <w:kern w:val="0"/>
                <w:sz w:val="28"/>
                <w:szCs w:val="28"/>
              </w:rPr>
              <w:t>〕</w:t>
            </w:r>
            <w:r w:rsidRPr="000E4A48">
              <w:rPr>
                <w:rFonts w:eastAsia="仿宋_GB2312" w:hint="eastAsia"/>
                <w:bCs/>
                <w:kern w:val="0"/>
                <w:sz w:val="28"/>
                <w:szCs w:val="28"/>
              </w:rPr>
              <w:t>12</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关于印发《人才市场与劳动力市场相互贯通的意见》的通知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74</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2009</w:t>
            </w:r>
            <w:r w:rsidRPr="000E4A48">
              <w:rPr>
                <w:rFonts w:eastAsia="仿宋_GB2312" w:hint="eastAsia"/>
                <w:bCs/>
                <w:kern w:val="0"/>
                <w:sz w:val="28"/>
                <w:szCs w:val="28"/>
              </w:rPr>
              <w:t>〕</w:t>
            </w:r>
            <w:r w:rsidRPr="000E4A48">
              <w:rPr>
                <w:rFonts w:eastAsia="仿宋_GB2312" w:hint="eastAsia"/>
                <w:bCs/>
                <w:kern w:val="0"/>
                <w:sz w:val="28"/>
                <w:szCs w:val="28"/>
              </w:rPr>
              <w:t>23</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关于做好困难高校毕业生就业援助工作的通知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75</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37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关于建立企业单位劳动报酬总额工作目标考核通报监督办法的通知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76</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2010</w:t>
            </w:r>
            <w:r w:rsidRPr="000E4A48">
              <w:rPr>
                <w:rFonts w:eastAsia="仿宋_GB2312" w:hint="eastAsia"/>
                <w:bCs/>
                <w:kern w:val="0"/>
                <w:sz w:val="28"/>
                <w:szCs w:val="28"/>
              </w:rPr>
              <w:t>〕</w:t>
            </w:r>
            <w:r w:rsidRPr="000E4A48">
              <w:rPr>
                <w:rFonts w:eastAsia="仿宋_GB2312" w:hint="eastAsia"/>
                <w:bCs/>
                <w:kern w:val="0"/>
                <w:sz w:val="28"/>
                <w:szCs w:val="28"/>
              </w:rPr>
              <w:t>57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关于印发《天津市引进人才服务专员管理规定》的通知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77</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21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关于做好老工伤人员纳入工伤保险统筹管理工作的通知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78</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2011</w:t>
            </w:r>
            <w:r w:rsidRPr="000E4A48">
              <w:rPr>
                <w:rFonts w:eastAsia="仿宋_GB2312" w:hint="eastAsia"/>
                <w:bCs/>
                <w:kern w:val="0"/>
                <w:sz w:val="28"/>
                <w:szCs w:val="28"/>
              </w:rPr>
              <w:t>〕</w:t>
            </w:r>
            <w:r w:rsidRPr="000E4A48">
              <w:rPr>
                <w:rFonts w:eastAsia="仿宋_GB2312" w:hint="eastAsia"/>
                <w:bCs/>
                <w:kern w:val="0"/>
                <w:sz w:val="28"/>
                <w:szCs w:val="28"/>
              </w:rPr>
              <w:t>46</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关于转发《关于提高建国前参加工作的老工人生活补贴标准和扩大发放范围的通知》的通知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1269"/>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79</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2012</w:t>
            </w:r>
            <w:r w:rsidRPr="000E4A48">
              <w:rPr>
                <w:rFonts w:eastAsia="仿宋_GB2312" w:hint="eastAsia"/>
                <w:bCs/>
                <w:kern w:val="0"/>
                <w:sz w:val="28"/>
                <w:szCs w:val="28"/>
              </w:rPr>
              <w:t>〕</w:t>
            </w:r>
            <w:r w:rsidRPr="000E4A48">
              <w:rPr>
                <w:rFonts w:eastAsia="仿宋_GB2312" w:hint="eastAsia"/>
                <w:bCs/>
                <w:kern w:val="0"/>
                <w:sz w:val="28"/>
                <w:szCs w:val="28"/>
              </w:rPr>
              <w:t>16</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关于超过法定退休年龄连续工龄中断人员补缴养老保险费等有关问题的通知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264"/>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80</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2013</w:t>
            </w:r>
            <w:r w:rsidRPr="000E4A48">
              <w:rPr>
                <w:rFonts w:eastAsia="仿宋_GB2312" w:hint="eastAsia"/>
                <w:bCs/>
                <w:kern w:val="0"/>
                <w:sz w:val="28"/>
                <w:szCs w:val="28"/>
              </w:rPr>
              <w:t>〕</w:t>
            </w:r>
            <w:r w:rsidRPr="000E4A48">
              <w:rPr>
                <w:rFonts w:eastAsia="仿宋_GB2312" w:hint="eastAsia"/>
                <w:bCs/>
                <w:kern w:val="0"/>
                <w:sz w:val="28"/>
                <w:szCs w:val="28"/>
              </w:rPr>
              <w:t>26</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市人力社保局市教委关于印发天津市深化中小学教师职称制度改革试点工作实施方案及相关配套文件的通知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289"/>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81</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84</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市人力社保局关于支持滨海新区构建和谐劳动关系综合试验区建设有关问题的通知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351"/>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82</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91</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关于印发天津市大学生创业引领计划（</w:t>
            </w:r>
            <w:r w:rsidRPr="000E4A48">
              <w:rPr>
                <w:rFonts w:eastAsia="仿宋_GB2312" w:hint="eastAsia"/>
                <w:bCs/>
                <w:kern w:val="0"/>
                <w:sz w:val="28"/>
                <w:szCs w:val="28"/>
              </w:rPr>
              <w:t>2014-2017</w:t>
            </w:r>
            <w:r w:rsidRPr="000E4A48">
              <w:rPr>
                <w:rFonts w:eastAsia="仿宋_GB2312" w:hint="eastAsia"/>
                <w:bCs/>
                <w:kern w:val="0"/>
                <w:sz w:val="28"/>
                <w:szCs w:val="28"/>
              </w:rPr>
              <w:t>年）实施方案的通知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268"/>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83</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2014</w:t>
            </w:r>
            <w:r w:rsidRPr="000E4A48">
              <w:rPr>
                <w:rFonts w:eastAsia="仿宋_GB2312" w:hint="eastAsia"/>
                <w:bCs/>
                <w:kern w:val="0"/>
                <w:sz w:val="28"/>
                <w:szCs w:val="28"/>
              </w:rPr>
              <w:t>〕</w:t>
            </w:r>
            <w:r w:rsidRPr="000E4A48">
              <w:rPr>
                <w:rFonts w:eastAsia="仿宋_GB2312" w:hint="eastAsia"/>
                <w:bCs/>
                <w:kern w:val="0"/>
                <w:sz w:val="28"/>
                <w:szCs w:val="28"/>
              </w:rPr>
              <w:t>112</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关于实施城乡老年人生活补助过渡办法有关问题的通知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289"/>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84</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17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市人力社保局市财政局关于调整城乡居民基础养老金和老年人生活补助标准的通知</w:t>
            </w:r>
          </w:p>
        </w:tc>
        <w:tc>
          <w:tcPr>
            <w:tcW w:w="612" w:type="pct"/>
            <w:shd w:val="clear" w:color="auto" w:fill="auto"/>
            <w:vAlign w:val="center"/>
          </w:tcPr>
          <w:p w:rsidR="00FF7733" w:rsidRPr="000E4A48" w:rsidRDefault="00FF7733" w:rsidP="00F54EC3">
            <w:pPr>
              <w:widowControl/>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272"/>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85</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53</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市人力社保局关于增加企业离休人员等群体离退休费有关问题的通知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调整对象已消失</w:t>
            </w:r>
          </w:p>
        </w:tc>
      </w:tr>
      <w:tr w:rsidR="00FF7733" w:rsidRPr="000E4A48" w:rsidTr="00F54EC3">
        <w:trPr>
          <w:cantSplit/>
          <w:trHeight w:val="272"/>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86</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128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关于在企业中开展职工“双证”培养计划的通知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272"/>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87</w:t>
            </w:r>
          </w:p>
        </w:tc>
        <w:tc>
          <w:tcPr>
            <w:tcW w:w="1262" w:type="pct"/>
            <w:shd w:val="clear" w:color="auto" w:fill="auto"/>
            <w:vAlign w:val="center"/>
          </w:tcPr>
          <w:p w:rsidR="00FF7733" w:rsidRPr="000E4A48" w:rsidRDefault="00FF7733" w:rsidP="00F54EC3">
            <w:pPr>
              <w:widowControl/>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67</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市人力社保局市农委关于加强农村劳动力培训有关问题的通知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272"/>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88</w:t>
            </w:r>
          </w:p>
        </w:tc>
        <w:tc>
          <w:tcPr>
            <w:tcW w:w="1262"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2015</w:t>
            </w:r>
            <w:r w:rsidRPr="000E4A48">
              <w:rPr>
                <w:rFonts w:eastAsia="仿宋_GB2312" w:hint="eastAsia"/>
                <w:bCs/>
                <w:kern w:val="0"/>
                <w:sz w:val="28"/>
                <w:szCs w:val="28"/>
              </w:rPr>
              <w:t>〕</w:t>
            </w:r>
            <w:r w:rsidRPr="000E4A48">
              <w:rPr>
                <w:rFonts w:eastAsia="仿宋_GB2312" w:hint="eastAsia"/>
                <w:bCs/>
                <w:kern w:val="0"/>
                <w:sz w:val="28"/>
                <w:szCs w:val="28"/>
              </w:rPr>
              <w:t>68</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市人力社保局市教委关于印发天津市技能人才“双轨制”培养实施意见的通知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750"/>
          <w:jc w:val="center"/>
        </w:trPr>
        <w:tc>
          <w:tcPr>
            <w:tcW w:w="342" w:type="pct"/>
            <w:shd w:val="clear" w:color="auto" w:fill="auto"/>
          </w:tcPr>
          <w:p w:rsidR="00FF7733" w:rsidRPr="000E4A48" w:rsidRDefault="00FF7733" w:rsidP="00F54EC3">
            <w:pPr>
              <w:widowControl/>
              <w:spacing w:beforeLines="100" w:before="312" w:line="600" w:lineRule="auto"/>
              <w:jc w:val="center"/>
              <w:rPr>
                <w:rFonts w:eastAsia="仿宋_GB2312"/>
                <w:bCs/>
                <w:sz w:val="28"/>
                <w:szCs w:val="28"/>
              </w:rPr>
            </w:pPr>
            <w:r w:rsidRPr="000E4A48">
              <w:rPr>
                <w:rFonts w:eastAsia="仿宋_GB2312" w:hint="eastAsia"/>
                <w:bCs/>
                <w:sz w:val="28"/>
                <w:szCs w:val="28"/>
              </w:rPr>
              <w:t>89</w:t>
            </w:r>
          </w:p>
        </w:tc>
        <w:tc>
          <w:tcPr>
            <w:tcW w:w="1262"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津人社局发〔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79</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市人力社保局关于百万技能人才培训福利计划职业技能鉴定费补贴标准的通知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r w:rsidR="00FF7733" w:rsidRPr="000E4A48" w:rsidTr="00F54EC3">
        <w:trPr>
          <w:cantSplit/>
          <w:trHeight w:val="330"/>
          <w:jc w:val="center"/>
        </w:trPr>
        <w:tc>
          <w:tcPr>
            <w:tcW w:w="342" w:type="pct"/>
            <w:shd w:val="clear" w:color="auto" w:fill="auto"/>
          </w:tcPr>
          <w:p w:rsidR="00FF7733" w:rsidRPr="000E4A48" w:rsidRDefault="00FF7733" w:rsidP="00F54EC3">
            <w:pPr>
              <w:spacing w:beforeLines="100" w:before="312" w:line="600" w:lineRule="auto"/>
              <w:jc w:val="center"/>
              <w:rPr>
                <w:rFonts w:eastAsia="仿宋_GB2312"/>
                <w:bCs/>
                <w:sz w:val="28"/>
                <w:szCs w:val="28"/>
              </w:rPr>
            </w:pPr>
            <w:r w:rsidRPr="000E4A48">
              <w:rPr>
                <w:rFonts w:eastAsia="仿宋_GB2312" w:hint="eastAsia"/>
                <w:bCs/>
                <w:sz w:val="28"/>
                <w:szCs w:val="28"/>
              </w:rPr>
              <w:t>90</w:t>
            </w:r>
          </w:p>
        </w:tc>
        <w:tc>
          <w:tcPr>
            <w:tcW w:w="1262"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津人社办发〔</w:t>
            </w:r>
            <w:r w:rsidRPr="000E4A48">
              <w:rPr>
                <w:rFonts w:eastAsia="仿宋_GB2312" w:hint="eastAsia"/>
                <w:bCs/>
                <w:kern w:val="0"/>
                <w:sz w:val="28"/>
                <w:szCs w:val="28"/>
              </w:rPr>
              <w:t>2016</w:t>
            </w:r>
            <w:r w:rsidRPr="000E4A48">
              <w:rPr>
                <w:rFonts w:eastAsia="仿宋_GB2312" w:hint="eastAsia"/>
                <w:bCs/>
                <w:kern w:val="0"/>
                <w:sz w:val="28"/>
                <w:szCs w:val="28"/>
              </w:rPr>
              <w:t>〕</w:t>
            </w:r>
            <w:r w:rsidRPr="000E4A48">
              <w:rPr>
                <w:rFonts w:eastAsia="仿宋_GB2312" w:hint="eastAsia"/>
                <w:bCs/>
                <w:kern w:val="0"/>
                <w:sz w:val="28"/>
                <w:szCs w:val="28"/>
              </w:rPr>
              <w:t>179</w:t>
            </w:r>
            <w:r w:rsidRPr="000E4A48">
              <w:rPr>
                <w:rFonts w:eastAsia="仿宋_GB2312" w:hint="eastAsia"/>
                <w:bCs/>
                <w:kern w:val="0"/>
                <w:sz w:val="28"/>
                <w:szCs w:val="28"/>
              </w:rPr>
              <w:t>号</w:t>
            </w:r>
          </w:p>
        </w:tc>
        <w:tc>
          <w:tcPr>
            <w:tcW w:w="1851"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市人力社保局关于社会保险经办业务下沉街道（乡镇）有关问题的通知</w:t>
            </w:r>
          </w:p>
        </w:tc>
        <w:tc>
          <w:tcPr>
            <w:tcW w:w="612" w:type="pct"/>
            <w:shd w:val="clear" w:color="auto" w:fill="auto"/>
            <w:vAlign w:val="center"/>
          </w:tcPr>
          <w:p w:rsidR="00FF7733" w:rsidRPr="000E4A48" w:rsidRDefault="00FF7733" w:rsidP="00F54EC3">
            <w:pPr>
              <w:spacing w:line="360" w:lineRule="exact"/>
              <w:jc w:val="center"/>
              <w:rPr>
                <w:rFonts w:eastAsia="仿宋_GB2312"/>
                <w:bCs/>
                <w:kern w:val="0"/>
                <w:sz w:val="28"/>
                <w:szCs w:val="28"/>
              </w:rPr>
            </w:pPr>
            <w:r w:rsidRPr="000E4A48">
              <w:rPr>
                <w:rFonts w:eastAsia="仿宋_GB2312" w:hint="eastAsia"/>
                <w:bCs/>
                <w:kern w:val="0"/>
                <w:sz w:val="28"/>
                <w:szCs w:val="28"/>
              </w:rPr>
              <w:t>宣布失效</w:t>
            </w:r>
          </w:p>
        </w:tc>
        <w:tc>
          <w:tcPr>
            <w:tcW w:w="933" w:type="pct"/>
            <w:shd w:val="clear" w:color="auto" w:fill="auto"/>
            <w:vAlign w:val="center"/>
          </w:tcPr>
          <w:p w:rsidR="00FF7733" w:rsidRPr="000E4A48" w:rsidRDefault="00FF7733" w:rsidP="00F54EC3">
            <w:pPr>
              <w:spacing w:line="360" w:lineRule="exact"/>
              <w:jc w:val="left"/>
              <w:rPr>
                <w:rFonts w:eastAsia="仿宋_GB2312"/>
                <w:bCs/>
                <w:kern w:val="0"/>
                <w:sz w:val="28"/>
                <w:szCs w:val="28"/>
              </w:rPr>
            </w:pPr>
            <w:r w:rsidRPr="000E4A48">
              <w:rPr>
                <w:rFonts w:eastAsia="仿宋_GB2312" w:hint="eastAsia"/>
                <w:bCs/>
                <w:kern w:val="0"/>
                <w:sz w:val="28"/>
                <w:szCs w:val="28"/>
              </w:rPr>
              <w:t>阶段性工作已完成</w:t>
            </w:r>
          </w:p>
        </w:tc>
      </w:tr>
    </w:tbl>
    <w:p w:rsidR="00FF7733" w:rsidRPr="000E4A48" w:rsidRDefault="00FF7733" w:rsidP="00FF7733"/>
    <w:p w:rsidR="00FF7733" w:rsidRDefault="00FF7733" w:rsidP="00FF7733">
      <w:pPr>
        <w:rPr>
          <w:rFonts w:eastAsia="仿宋_GB2312" w:hint="eastAsia"/>
          <w:sz w:val="32"/>
        </w:rPr>
      </w:pPr>
    </w:p>
    <w:p w:rsidR="00FF7733" w:rsidRDefault="00FF7733" w:rsidP="00FF7733">
      <w:pPr>
        <w:rPr>
          <w:rFonts w:eastAsia="仿宋_GB2312" w:hint="eastAsia"/>
          <w:sz w:val="32"/>
        </w:rPr>
      </w:pPr>
    </w:p>
    <w:p w:rsidR="00FF7733" w:rsidRDefault="00FF7733" w:rsidP="00FF7733">
      <w:pPr>
        <w:rPr>
          <w:rFonts w:eastAsia="仿宋_GB2312" w:hint="eastAsia"/>
          <w:sz w:val="32"/>
        </w:rPr>
      </w:pPr>
    </w:p>
    <w:p w:rsidR="005A5B56" w:rsidRDefault="005A5B56"/>
    <w:sectPr w:rsidR="005A5B56" w:rsidSect="00FF773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33" w:rsidRDefault="00FF7733" w:rsidP="00FF7733">
      <w:r>
        <w:separator/>
      </w:r>
    </w:p>
  </w:endnote>
  <w:endnote w:type="continuationSeparator" w:id="0">
    <w:p w:rsidR="00FF7733" w:rsidRDefault="00FF7733" w:rsidP="00FF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33" w:rsidRDefault="00FF7733" w:rsidP="00FF7733">
      <w:r>
        <w:separator/>
      </w:r>
    </w:p>
  </w:footnote>
  <w:footnote w:type="continuationSeparator" w:id="0">
    <w:p w:rsidR="00FF7733" w:rsidRDefault="00FF7733" w:rsidP="00FF7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8A"/>
    <w:rsid w:val="005A5B56"/>
    <w:rsid w:val="005B0F8A"/>
    <w:rsid w:val="00FF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7E0F7EC-013D-4BEC-987A-064624E8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7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7733"/>
    <w:rPr>
      <w:sz w:val="18"/>
      <w:szCs w:val="18"/>
    </w:rPr>
  </w:style>
  <w:style w:type="paragraph" w:styleId="a4">
    <w:name w:val="footer"/>
    <w:basedOn w:val="a"/>
    <w:link w:val="Char0"/>
    <w:uiPriority w:val="99"/>
    <w:unhideWhenUsed/>
    <w:rsid w:val="00FF77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77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852</Words>
  <Characters>4858</Characters>
  <Application>Microsoft Office Word</Application>
  <DocSecurity>0</DocSecurity>
  <Lines>40</Lines>
  <Paragraphs>11</Paragraphs>
  <ScaleCrop>false</ScaleCrop>
  <Company>微软中国</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2020-05-29T08:55:00Z</dcterms:created>
  <dcterms:modified xsi:type="dcterms:W3CDTF">2020-05-29T08:56:00Z</dcterms:modified>
</cp:coreProperties>
</file>