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21" w:rsidRDefault="00C00C47" w:rsidP="007B3D21">
      <w:pPr>
        <w:jc w:val="center"/>
        <w:rPr>
          <w:b/>
          <w:sz w:val="44"/>
          <w:szCs w:val="44"/>
        </w:rPr>
      </w:pPr>
      <w:bookmarkStart w:id="0" w:name="_GoBack"/>
      <w:bookmarkEnd w:id="0"/>
      <w:r w:rsidRPr="007B3D21">
        <w:rPr>
          <w:rFonts w:hint="eastAsia"/>
          <w:b/>
          <w:sz w:val="44"/>
          <w:szCs w:val="44"/>
        </w:rPr>
        <w:t>增值税发票税控开票软件（税控盘版）</w:t>
      </w:r>
    </w:p>
    <w:p w:rsidR="00A62892" w:rsidRPr="007B3D21" w:rsidRDefault="004802BD" w:rsidP="007B3D21">
      <w:pPr>
        <w:jc w:val="center"/>
        <w:rPr>
          <w:b/>
          <w:sz w:val="44"/>
          <w:szCs w:val="44"/>
        </w:rPr>
      </w:pPr>
      <w:r>
        <w:rPr>
          <w:rFonts w:hint="eastAsia"/>
          <w:b/>
          <w:sz w:val="44"/>
          <w:szCs w:val="44"/>
        </w:rPr>
        <w:t>网上</w:t>
      </w:r>
      <w:r w:rsidR="00C00C47" w:rsidRPr="007B3D21">
        <w:rPr>
          <w:rFonts w:hint="eastAsia"/>
          <w:b/>
          <w:sz w:val="44"/>
          <w:szCs w:val="44"/>
        </w:rPr>
        <w:t>变更</w:t>
      </w:r>
      <w:r>
        <w:rPr>
          <w:rFonts w:hint="eastAsia"/>
          <w:b/>
          <w:sz w:val="44"/>
          <w:szCs w:val="44"/>
        </w:rPr>
        <w:t>说明</w:t>
      </w:r>
    </w:p>
    <w:p w:rsidR="00A62892" w:rsidRDefault="00C00C47">
      <w:pPr>
        <w:pStyle w:val="2"/>
        <w:numPr>
          <w:ilvl w:val="0"/>
          <w:numId w:val="1"/>
        </w:numPr>
        <w:spacing w:before="380"/>
        <w:ind w:leftChars="200" w:left="420" w:firstLine="0"/>
        <w:rPr>
          <w:rFonts w:ascii="仿宋_GB2312" w:eastAsia="仿宋_GB2312" w:hAnsi="宋体"/>
          <w:szCs w:val="32"/>
        </w:rPr>
      </w:pPr>
      <w:r>
        <w:rPr>
          <w:rFonts w:ascii="黑体" w:hAnsi="黑体" w:cs="黑体" w:hint="eastAsia"/>
          <w:szCs w:val="32"/>
        </w:rPr>
        <w:t>增值税发票税控开票软件（税控盘版）操作说明</w:t>
      </w:r>
    </w:p>
    <w:p w:rsidR="00A62892" w:rsidRDefault="00C00C47">
      <w:pPr>
        <w:ind w:left="420"/>
        <w:rPr>
          <w:rFonts w:ascii="仿宋_GB2312" w:eastAsia="仿宋_GB2312"/>
          <w:sz w:val="32"/>
          <w:szCs w:val="32"/>
        </w:rPr>
      </w:pPr>
      <w:r>
        <w:rPr>
          <w:rFonts w:ascii="仿宋_GB2312" w:eastAsia="仿宋_GB2312" w:hint="eastAsia"/>
          <w:sz w:val="32"/>
          <w:szCs w:val="32"/>
        </w:rPr>
        <w:t>通过网上变更功能，可以将税务局端审核通过的变更申请同步到企业端开票软件税控盘，企业不需要携带税控盘去税务局大厅操作。以税控盘为例具体操作如下：</w:t>
      </w:r>
    </w:p>
    <w:p w:rsidR="00A62892" w:rsidRDefault="00C00C47">
      <w:pPr>
        <w:widowControl/>
        <w:ind w:leftChars="200" w:left="420"/>
        <w:jc w:val="left"/>
        <w:rPr>
          <w:rFonts w:ascii="仿宋_GB2312" w:eastAsia="仿宋_GB2312" w:hAnsi="宋体"/>
          <w:sz w:val="32"/>
          <w:szCs w:val="32"/>
        </w:rPr>
      </w:pPr>
      <w:r>
        <w:rPr>
          <w:rFonts w:ascii="仿宋_GB2312" w:eastAsia="仿宋_GB2312" w:hAnsi="宋体" w:hint="eastAsia"/>
          <w:sz w:val="32"/>
          <w:szCs w:val="32"/>
        </w:rPr>
        <w:t>1．税务局审核通过后，纳税人进入</w:t>
      </w:r>
      <w:r>
        <w:rPr>
          <w:rFonts w:ascii="仿宋_GB2312" w:eastAsia="仿宋_GB2312" w:hAnsi="宋体"/>
          <w:sz w:val="32"/>
          <w:szCs w:val="32"/>
        </w:rPr>
        <w:t>开票软件</w:t>
      </w:r>
      <w:r>
        <w:rPr>
          <w:rFonts w:ascii="仿宋_GB2312" w:eastAsia="仿宋_GB2312" w:hAnsi="宋体" w:hint="eastAsia"/>
          <w:sz w:val="32"/>
          <w:szCs w:val="32"/>
        </w:rPr>
        <w:t>（税控盘版）V2.0.19_20180128</w:t>
      </w:r>
      <w:r w:rsidR="00451CB6">
        <w:rPr>
          <w:rFonts w:ascii="仿宋_GB2312" w:eastAsia="仿宋_GB2312" w:hint="eastAsia"/>
          <w:sz w:val="32"/>
          <w:szCs w:val="32"/>
        </w:rPr>
        <w:t>及以上版本</w:t>
      </w:r>
      <w:r>
        <w:rPr>
          <w:rFonts w:ascii="仿宋_GB2312" w:eastAsia="仿宋_GB2312" w:hAnsi="宋体"/>
          <w:sz w:val="32"/>
          <w:szCs w:val="32"/>
        </w:rPr>
        <w:t>，系统</w:t>
      </w:r>
      <w:r>
        <w:rPr>
          <w:rFonts w:ascii="仿宋_GB2312" w:eastAsia="仿宋_GB2312" w:hAnsi="宋体" w:hint="eastAsia"/>
          <w:sz w:val="32"/>
          <w:szCs w:val="32"/>
        </w:rPr>
        <w:t>弹出</w:t>
      </w:r>
      <w:r>
        <w:rPr>
          <w:rFonts w:ascii="仿宋_GB2312" w:eastAsia="仿宋_GB2312" w:hAnsi="宋体"/>
          <w:sz w:val="32"/>
          <w:szCs w:val="32"/>
        </w:rPr>
        <w:t>网上变更提示</w:t>
      </w:r>
      <w:r>
        <w:rPr>
          <w:rFonts w:ascii="仿宋_GB2312" w:eastAsia="仿宋_GB2312" w:hAnsi="宋体" w:hint="eastAsia"/>
          <w:sz w:val="32"/>
          <w:szCs w:val="32"/>
        </w:rPr>
        <w:t>，</w:t>
      </w:r>
      <w:r>
        <w:rPr>
          <w:rFonts w:ascii="仿宋_GB2312" w:eastAsia="仿宋_GB2312" w:hAnsi="宋体"/>
          <w:sz w:val="32"/>
          <w:szCs w:val="32"/>
        </w:rPr>
        <w:t>如图</w:t>
      </w: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1所示</w:t>
      </w:r>
      <w:r>
        <w:rPr>
          <w:rFonts w:ascii="仿宋_GB2312" w:eastAsia="仿宋_GB2312" w:hAnsi="宋体"/>
          <w:sz w:val="32"/>
          <w:szCs w:val="32"/>
        </w:rPr>
        <w:t>。</w:t>
      </w:r>
    </w:p>
    <w:p w:rsidR="00A62892" w:rsidRDefault="00C00C47">
      <w:pPr>
        <w:spacing w:line="360" w:lineRule="auto"/>
        <w:ind w:firstLineChars="200" w:firstLine="420"/>
        <w:jc w:val="center"/>
        <w:rPr>
          <w:rFonts w:ascii="仿宋_GB2312" w:eastAsia="仿宋_GB2312"/>
          <w:sz w:val="32"/>
          <w:szCs w:val="32"/>
        </w:rPr>
      </w:pPr>
      <w:r>
        <w:rPr>
          <w:noProof/>
        </w:rPr>
        <w:drawing>
          <wp:inline distT="0" distB="0" distL="114300" distR="114300">
            <wp:extent cx="3437890" cy="1666875"/>
            <wp:effectExtent l="0" t="0" r="10160"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8"/>
                    <a:stretch>
                      <a:fillRect/>
                    </a:stretch>
                  </pic:blipFill>
                  <pic:spPr>
                    <a:xfrm>
                      <a:off x="0" y="0"/>
                      <a:ext cx="3437890" cy="1666875"/>
                    </a:xfrm>
                    <a:prstGeom prst="rect">
                      <a:avLst/>
                    </a:prstGeom>
                    <a:noFill/>
                    <a:ln w="9525">
                      <a:noFill/>
                    </a:ln>
                  </pic:spPr>
                </pic:pic>
              </a:graphicData>
            </a:graphic>
          </wp:inline>
        </w:drawing>
      </w:r>
    </w:p>
    <w:p w:rsidR="00A62892" w:rsidRDefault="00C00C47">
      <w:pPr>
        <w:spacing w:line="0" w:lineRule="atLeast"/>
        <w:jc w:val="center"/>
        <w:rPr>
          <w:rFonts w:ascii="宋体" w:hAnsi="宋体"/>
          <w:sz w:val="18"/>
        </w:rPr>
      </w:pPr>
      <w:r>
        <w:rPr>
          <w:rFonts w:ascii="宋体" w:hAnsi="宋体" w:hint="eastAsia"/>
          <w:sz w:val="18"/>
        </w:rPr>
        <w:t>图1</w:t>
      </w:r>
      <w:r>
        <w:rPr>
          <w:rFonts w:ascii="宋体" w:hAnsi="宋体"/>
          <w:sz w:val="18"/>
        </w:rPr>
        <w:t>-</w:t>
      </w:r>
      <w:r>
        <w:rPr>
          <w:rFonts w:ascii="宋体" w:hAnsi="宋体" w:hint="eastAsia"/>
          <w:sz w:val="18"/>
        </w:rPr>
        <w:t>1 网上变更提示</w:t>
      </w:r>
    </w:p>
    <w:p w:rsidR="00A62892" w:rsidRDefault="00C00C47">
      <w:pPr>
        <w:widowControl/>
        <w:ind w:leftChars="200" w:left="420"/>
        <w:jc w:val="left"/>
        <w:rPr>
          <w:rFonts w:ascii="仿宋_GB2312" w:eastAsia="仿宋_GB2312" w:hAnsi="宋体"/>
          <w:sz w:val="32"/>
          <w:szCs w:val="32"/>
        </w:rPr>
      </w:pPr>
      <w:r>
        <w:rPr>
          <w:rFonts w:ascii="仿宋_GB2312" w:eastAsia="仿宋_GB2312" w:hAnsi="宋体" w:hint="eastAsia"/>
          <w:sz w:val="32"/>
          <w:szCs w:val="32"/>
        </w:rPr>
        <w:t>2．点击“是”后，如果税控设备版本过低，则会弹出税控设备升级提示，如图1-2所示。</w:t>
      </w:r>
    </w:p>
    <w:p w:rsidR="00A62892" w:rsidRDefault="00A62892">
      <w:pPr>
        <w:spacing w:line="360" w:lineRule="auto"/>
        <w:ind w:firstLineChars="200" w:firstLine="640"/>
        <w:rPr>
          <w:rFonts w:ascii="仿宋_GB2312" w:eastAsia="仿宋_GB2312"/>
          <w:sz w:val="32"/>
          <w:szCs w:val="32"/>
        </w:rPr>
      </w:pPr>
    </w:p>
    <w:p w:rsidR="00A62892" w:rsidRDefault="00C00C47">
      <w:pPr>
        <w:spacing w:line="360" w:lineRule="auto"/>
        <w:ind w:firstLineChars="200" w:firstLine="420"/>
        <w:jc w:val="center"/>
        <w:rPr>
          <w:rFonts w:ascii="仿宋_GB2312" w:eastAsia="仿宋_GB2312"/>
          <w:sz w:val="32"/>
          <w:szCs w:val="32"/>
        </w:rPr>
      </w:pPr>
      <w:r>
        <w:rPr>
          <w:noProof/>
        </w:rPr>
        <w:drawing>
          <wp:inline distT="0" distB="0" distL="114300" distR="114300">
            <wp:extent cx="3676015" cy="1666875"/>
            <wp:effectExtent l="0" t="0" r="635"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9"/>
                    <a:stretch>
                      <a:fillRect/>
                    </a:stretch>
                  </pic:blipFill>
                  <pic:spPr>
                    <a:xfrm>
                      <a:off x="0" y="0"/>
                      <a:ext cx="3676015" cy="1666875"/>
                    </a:xfrm>
                    <a:prstGeom prst="rect">
                      <a:avLst/>
                    </a:prstGeom>
                    <a:noFill/>
                    <a:ln w="9525">
                      <a:noFill/>
                    </a:ln>
                  </pic:spPr>
                </pic:pic>
              </a:graphicData>
            </a:graphic>
          </wp:inline>
        </w:drawing>
      </w:r>
    </w:p>
    <w:p w:rsidR="00A62892" w:rsidRDefault="00C00C47">
      <w:pPr>
        <w:spacing w:line="0" w:lineRule="atLeast"/>
        <w:jc w:val="center"/>
        <w:rPr>
          <w:rFonts w:ascii="宋体" w:hAnsi="宋体"/>
          <w:sz w:val="18"/>
        </w:rPr>
      </w:pPr>
      <w:r>
        <w:rPr>
          <w:rFonts w:ascii="宋体" w:hAnsi="宋体" w:hint="eastAsia"/>
          <w:sz w:val="18"/>
        </w:rPr>
        <w:lastRenderedPageBreak/>
        <w:t>图1</w:t>
      </w:r>
      <w:r>
        <w:rPr>
          <w:rFonts w:ascii="宋体" w:hAnsi="宋体"/>
          <w:sz w:val="18"/>
        </w:rPr>
        <w:t>-</w:t>
      </w:r>
      <w:r>
        <w:rPr>
          <w:rFonts w:ascii="宋体" w:hAnsi="宋体" w:hint="eastAsia"/>
          <w:sz w:val="18"/>
        </w:rPr>
        <w:t>2 税控设备升级提示</w:t>
      </w:r>
    </w:p>
    <w:p w:rsidR="00A62892" w:rsidRDefault="00C00C47">
      <w:pPr>
        <w:widowControl/>
        <w:ind w:leftChars="200" w:left="420"/>
        <w:jc w:val="left"/>
        <w:rPr>
          <w:rFonts w:ascii="仿宋_GB2312" w:eastAsia="仿宋_GB2312" w:hAnsi="宋体"/>
          <w:sz w:val="32"/>
          <w:szCs w:val="32"/>
        </w:rPr>
      </w:pPr>
      <w:r>
        <w:rPr>
          <w:rFonts w:ascii="仿宋_GB2312" w:eastAsia="仿宋_GB2312" w:hAnsi="宋体" w:hint="eastAsia"/>
          <w:sz w:val="32"/>
          <w:szCs w:val="32"/>
        </w:rPr>
        <w:t xml:space="preserve"> 3．点击“是”后，进入税控设备在线升级模块，点击“在线升级”按钮，提示税控盘升级成功之后，点击“否”，如图1-3所示。</w:t>
      </w:r>
    </w:p>
    <w:p w:rsidR="00A62892" w:rsidRDefault="00C00C47">
      <w:pPr>
        <w:spacing w:line="360" w:lineRule="auto"/>
        <w:ind w:firstLineChars="200" w:firstLine="420"/>
        <w:rPr>
          <w:rFonts w:ascii="仿宋_GB2312" w:eastAsia="仿宋_GB2312"/>
          <w:sz w:val="32"/>
          <w:szCs w:val="32"/>
        </w:rPr>
      </w:pPr>
      <w:r>
        <w:rPr>
          <w:noProof/>
        </w:rPr>
        <w:drawing>
          <wp:inline distT="0" distB="0" distL="0" distR="0">
            <wp:extent cx="5274310" cy="2748280"/>
            <wp:effectExtent l="0" t="0" r="2540" b="139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
                    <a:srcRect/>
                    <a:stretch>
                      <a:fillRect/>
                    </a:stretch>
                  </pic:blipFill>
                  <pic:spPr>
                    <a:xfrm>
                      <a:off x="0" y="0"/>
                      <a:ext cx="5274310" cy="2748470"/>
                    </a:xfrm>
                    <a:prstGeom prst="rect">
                      <a:avLst/>
                    </a:prstGeom>
                    <a:noFill/>
                    <a:ln w="9525">
                      <a:noFill/>
                      <a:miter lim="800000"/>
                      <a:headEnd/>
                      <a:tailEnd/>
                    </a:ln>
                  </pic:spPr>
                </pic:pic>
              </a:graphicData>
            </a:graphic>
          </wp:inline>
        </w:drawing>
      </w:r>
    </w:p>
    <w:p w:rsidR="00A62892" w:rsidRDefault="00C00C47">
      <w:pPr>
        <w:spacing w:line="0" w:lineRule="atLeast"/>
        <w:jc w:val="center"/>
        <w:rPr>
          <w:rFonts w:ascii="仿宋_GB2312" w:eastAsia="仿宋_GB2312"/>
          <w:sz w:val="32"/>
          <w:szCs w:val="32"/>
        </w:rPr>
      </w:pPr>
      <w:r>
        <w:rPr>
          <w:rFonts w:ascii="宋体" w:hAnsi="宋体" w:hint="eastAsia"/>
          <w:sz w:val="18"/>
        </w:rPr>
        <w:t>图1</w:t>
      </w:r>
      <w:r>
        <w:rPr>
          <w:rFonts w:ascii="宋体" w:hAnsi="宋体"/>
          <w:sz w:val="18"/>
        </w:rPr>
        <w:t>-</w:t>
      </w:r>
      <w:r>
        <w:rPr>
          <w:rFonts w:ascii="宋体" w:hAnsi="宋体" w:hint="eastAsia"/>
          <w:sz w:val="18"/>
        </w:rPr>
        <w:t>3 税控设备升级操作</w:t>
      </w:r>
    </w:p>
    <w:p w:rsidR="00A62892" w:rsidRDefault="00C00C47">
      <w:pPr>
        <w:widowControl/>
        <w:ind w:leftChars="200" w:left="420"/>
        <w:jc w:val="left"/>
        <w:rPr>
          <w:rFonts w:ascii="仿宋_GB2312" w:eastAsia="仿宋_GB2312" w:hAnsi="宋体"/>
          <w:sz w:val="32"/>
          <w:szCs w:val="32"/>
        </w:rPr>
      </w:pPr>
      <w:r>
        <w:rPr>
          <w:rFonts w:ascii="仿宋_GB2312" w:eastAsia="仿宋_GB2312" w:hAnsi="宋体" w:hint="eastAsia"/>
          <w:sz w:val="32"/>
          <w:szCs w:val="32"/>
        </w:rPr>
        <w:t>4.税控盘升级完成之后，进入在线变更操作界面，点击</w:t>
      </w:r>
      <w:r>
        <w:rPr>
          <w:rFonts w:ascii="仿宋_GB2312" w:eastAsia="仿宋_GB2312" w:hAnsi="宋体" w:hint="eastAsia"/>
          <w:noProof/>
          <w:sz w:val="32"/>
          <w:szCs w:val="32"/>
        </w:rPr>
        <w:drawing>
          <wp:inline distT="0" distB="0" distL="0" distR="0">
            <wp:extent cx="219075" cy="190500"/>
            <wp:effectExtent l="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11"/>
                    <a:srcRect/>
                    <a:stretch>
                      <a:fillRect/>
                    </a:stretch>
                  </pic:blipFill>
                  <pic:spPr>
                    <a:xfrm>
                      <a:off x="0" y="0"/>
                      <a:ext cx="219075" cy="190500"/>
                    </a:xfrm>
                    <a:prstGeom prst="rect">
                      <a:avLst/>
                    </a:prstGeom>
                    <a:noFill/>
                    <a:ln w="9525">
                      <a:noFill/>
                      <a:miter lim="800000"/>
                      <a:headEnd/>
                      <a:tailEnd/>
                    </a:ln>
                  </pic:spPr>
                </pic:pic>
              </a:graphicData>
            </a:graphic>
          </wp:inline>
        </w:drawing>
      </w:r>
      <w:r>
        <w:rPr>
          <w:rFonts w:ascii="仿宋_GB2312" w:eastAsia="仿宋_GB2312" w:hAnsi="宋体" w:hint="eastAsia"/>
          <w:sz w:val="32"/>
          <w:szCs w:val="32"/>
        </w:rPr>
        <w:t>按钮可以查询变更内容，若变更内容正确，核对在线变更的内容，点击</w:t>
      </w:r>
      <w:r>
        <w:rPr>
          <w:rFonts w:ascii="仿宋_GB2312" w:eastAsia="仿宋_GB2312" w:hAnsi="宋体" w:hint="eastAsia"/>
          <w:noProof/>
          <w:sz w:val="32"/>
          <w:szCs w:val="32"/>
        </w:rPr>
        <w:drawing>
          <wp:inline distT="0" distB="0" distL="0" distR="0">
            <wp:extent cx="219075" cy="19050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2"/>
                    <a:srcRect/>
                    <a:stretch>
                      <a:fillRect/>
                    </a:stretch>
                  </pic:blipFill>
                  <pic:spPr>
                    <a:xfrm>
                      <a:off x="0" y="0"/>
                      <a:ext cx="219075" cy="190500"/>
                    </a:xfrm>
                    <a:prstGeom prst="rect">
                      <a:avLst/>
                    </a:prstGeom>
                    <a:noFill/>
                    <a:ln w="9525">
                      <a:noFill/>
                      <a:miter lim="800000"/>
                      <a:headEnd/>
                      <a:tailEnd/>
                    </a:ln>
                  </pic:spPr>
                </pic:pic>
              </a:graphicData>
            </a:graphic>
          </wp:inline>
        </w:drawing>
      </w:r>
      <w:r>
        <w:rPr>
          <w:rFonts w:ascii="仿宋_GB2312" w:eastAsia="仿宋_GB2312" w:hAnsi="宋体" w:hint="eastAsia"/>
          <w:sz w:val="32"/>
          <w:szCs w:val="32"/>
        </w:rPr>
        <w:t>按钮确认变更。如图1-4。</w:t>
      </w:r>
    </w:p>
    <w:p w:rsidR="00A62892" w:rsidRDefault="00C00C47">
      <w:pPr>
        <w:tabs>
          <w:tab w:val="center" w:pos="4153"/>
        </w:tabs>
        <w:spacing w:line="360" w:lineRule="auto"/>
        <w:ind w:left="420"/>
        <w:jc w:val="center"/>
        <w:rPr>
          <w:rFonts w:ascii="等线" w:hAnsi="等线"/>
          <w:sz w:val="28"/>
          <w:szCs w:val="28"/>
        </w:rPr>
      </w:pPr>
      <w:r>
        <w:rPr>
          <w:noProof/>
        </w:rPr>
        <w:lastRenderedPageBreak/>
        <w:drawing>
          <wp:inline distT="0" distB="0" distL="114300" distR="114300">
            <wp:extent cx="5271135" cy="3601085"/>
            <wp:effectExtent l="0" t="0" r="5715" b="1841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3"/>
                    <a:stretch>
                      <a:fillRect/>
                    </a:stretch>
                  </pic:blipFill>
                  <pic:spPr>
                    <a:xfrm>
                      <a:off x="0" y="0"/>
                      <a:ext cx="5271135" cy="3601085"/>
                    </a:xfrm>
                    <a:prstGeom prst="rect">
                      <a:avLst/>
                    </a:prstGeom>
                    <a:noFill/>
                    <a:ln w="9525">
                      <a:noFill/>
                    </a:ln>
                  </pic:spPr>
                </pic:pic>
              </a:graphicData>
            </a:graphic>
          </wp:inline>
        </w:drawing>
      </w:r>
    </w:p>
    <w:p w:rsidR="00A62892" w:rsidRDefault="00C00C47">
      <w:pPr>
        <w:spacing w:line="0" w:lineRule="atLeast"/>
        <w:jc w:val="center"/>
        <w:rPr>
          <w:rFonts w:ascii="仿宋_GB2312" w:eastAsia="仿宋_GB2312" w:hAnsi="宋体"/>
          <w:sz w:val="32"/>
          <w:szCs w:val="32"/>
        </w:rPr>
      </w:pPr>
      <w:r>
        <w:rPr>
          <w:rFonts w:ascii="宋体" w:hAnsi="宋体" w:hint="eastAsia"/>
          <w:sz w:val="18"/>
        </w:rPr>
        <w:t>图1</w:t>
      </w:r>
      <w:r>
        <w:rPr>
          <w:rFonts w:ascii="宋体" w:hAnsi="宋体"/>
          <w:sz w:val="18"/>
        </w:rPr>
        <w:t>-</w:t>
      </w:r>
      <w:r>
        <w:rPr>
          <w:rFonts w:ascii="宋体" w:hAnsi="宋体" w:hint="eastAsia"/>
          <w:sz w:val="18"/>
        </w:rPr>
        <w:t>4 在线变更</w:t>
      </w:r>
    </w:p>
    <w:p w:rsidR="00A62892" w:rsidRDefault="00C00C47">
      <w:pPr>
        <w:pStyle w:val="a5"/>
        <w:numPr>
          <w:ilvl w:val="0"/>
          <w:numId w:val="2"/>
        </w:numPr>
        <w:tabs>
          <w:tab w:val="clear" w:pos="360"/>
        </w:tabs>
        <w:ind w:left="608" w:hangingChars="190" w:hanging="608"/>
        <w:rPr>
          <w:rFonts w:ascii="仿宋_GB2312" w:eastAsia="仿宋_GB2312"/>
          <w:sz w:val="32"/>
          <w:szCs w:val="32"/>
        </w:rPr>
      </w:pPr>
      <w:r>
        <w:rPr>
          <w:rFonts w:ascii="仿宋_GB2312" w:eastAsia="仿宋_GB2312" w:hint="eastAsia"/>
          <w:sz w:val="32"/>
          <w:szCs w:val="32"/>
        </w:rPr>
        <w:t>说明：</w:t>
      </w:r>
    </w:p>
    <w:p w:rsidR="00A62892" w:rsidRDefault="00C00C47">
      <w:pPr>
        <w:numPr>
          <w:ilvl w:val="0"/>
          <w:numId w:val="3"/>
        </w:numPr>
        <w:spacing w:line="360" w:lineRule="auto"/>
        <w:rPr>
          <w:rFonts w:ascii="仿宋_GB2312" w:eastAsia="仿宋_GB2312"/>
          <w:sz w:val="32"/>
          <w:szCs w:val="32"/>
        </w:rPr>
      </w:pPr>
      <w:r>
        <w:rPr>
          <w:rFonts w:ascii="仿宋_GB2312" w:eastAsia="仿宋_GB2312" w:hint="eastAsia"/>
          <w:sz w:val="32"/>
          <w:szCs w:val="32"/>
        </w:rPr>
        <w:t>增值税发票税控开票软件（税控盘版）V2.0.19 180128</w:t>
      </w:r>
      <w:r w:rsidR="00451CB6">
        <w:rPr>
          <w:rFonts w:ascii="仿宋_GB2312" w:eastAsia="仿宋_GB2312" w:hint="eastAsia"/>
          <w:sz w:val="32"/>
          <w:szCs w:val="32"/>
        </w:rPr>
        <w:t>及以上版本</w:t>
      </w:r>
      <w:r>
        <w:rPr>
          <w:rFonts w:ascii="仿宋_GB2312" w:eastAsia="仿宋_GB2312" w:hint="eastAsia"/>
          <w:sz w:val="32"/>
          <w:szCs w:val="32"/>
        </w:rPr>
        <w:t>是通过打开开票软件调用开票软件根目录下的在线变更程序（zxbg.exe）实现远程在线变更功能或手工启动开票软件根目录下的在线变更程序（zxbg.exe）实现远程在线变更功能，开票软件中不体现远程变更功能。</w:t>
      </w:r>
    </w:p>
    <w:p w:rsidR="00A62892" w:rsidRDefault="00C00C47">
      <w:pPr>
        <w:numPr>
          <w:ilvl w:val="0"/>
          <w:numId w:val="3"/>
        </w:numPr>
        <w:spacing w:line="360" w:lineRule="auto"/>
        <w:rPr>
          <w:rFonts w:ascii="仿宋_GB2312" w:eastAsia="仿宋_GB2312"/>
          <w:sz w:val="32"/>
          <w:szCs w:val="32"/>
        </w:rPr>
      </w:pPr>
      <w:r>
        <w:rPr>
          <w:rFonts w:ascii="仿宋_GB2312" w:eastAsia="仿宋_GB2312" w:hint="eastAsia"/>
          <w:sz w:val="32"/>
          <w:szCs w:val="32"/>
        </w:rPr>
        <w:t>税控设备在线升级程序（tczxsj.exe）只能通过在线变更程序（zxbg.exe）自动调用，不能手工启动。</w:t>
      </w:r>
    </w:p>
    <w:p w:rsidR="00A62892" w:rsidRDefault="00C00C47">
      <w:pPr>
        <w:numPr>
          <w:ilvl w:val="0"/>
          <w:numId w:val="3"/>
        </w:numPr>
        <w:spacing w:line="360" w:lineRule="auto"/>
        <w:rPr>
          <w:rFonts w:ascii="仿宋_GB2312" w:eastAsia="仿宋_GB2312"/>
          <w:sz w:val="32"/>
          <w:szCs w:val="32"/>
        </w:rPr>
      </w:pPr>
      <w:r>
        <w:rPr>
          <w:rFonts w:ascii="仿宋_GB2312" w:eastAsia="仿宋_GB2312" w:hint="eastAsia"/>
          <w:sz w:val="32"/>
          <w:szCs w:val="32"/>
        </w:rPr>
        <w:t>支持网上变更的情况包括：</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（1）基本信息：</w:t>
      </w:r>
      <w:r w:rsidR="00451CB6" w:rsidRPr="00451CB6">
        <w:rPr>
          <w:rFonts w:ascii="仿宋_GB2312" w:eastAsia="仿宋_GB2312" w:hint="eastAsia"/>
          <w:sz w:val="32"/>
          <w:szCs w:val="32"/>
        </w:rPr>
        <w:t>纳税人识别号、纳税人名称、税务机关代码、</w:t>
      </w:r>
      <w:r>
        <w:rPr>
          <w:rFonts w:ascii="仿宋_GB2312" w:eastAsia="仿宋_GB2312" w:hint="eastAsia"/>
          <w:sz w:val="32"/>
          <w:szCs w:val="32"/>
        </w:rPr>
        <w:t>特定企业标识、收购企业标识、铁路标识、纳税人性质、特殊行业标识、小规模纳税人自开专票标识。</w:t>
      </w:r>
    </w:p>
    <w:p w:rsidR="00A62892" w:rsidRDefault="00C00C47">
      <w:pPr>
        <w:spacing w:line="360" w:lineRule="auto"/>
        <w:rPr>
          <w:rFonts w:ascii="仿宋_GB2312" w:eastAsia="仿宋_GB2312"/>
          <w:sz w:val="32"/>
          <w:szCs w:val="32"/>
        </w:rPr>
      </w:pPr>
      <w:r>
        <w:rPr>
          <w:rFonts w:ascii="仿宋_GB2312" w:eastAsia="仿宋_GB2312" w:hint="eastAsia"/>
          <w:sz w:val="32"/>
          <w:szCs w:val="32"/>
        </w:rPr>
        <w:lastRenderedPageBreak/>
        <w:t>（2）票种核定信息：增加票种、变更单张开票限额，变更发票发售份数。</w:t>
      </w:r>
    </w:p>
    <w:p w:rsidR="00A62892" w:rsidRDefault="00C00C47">
      <w:pPr>
        <w:numPr>
          <w:ilvl w:val="0"/>
          <w:numId w:val="3"/>
        </w:numPr>
        <w:spacing w:line="360" w:lineRule="auto"/>
        <w:rPr>
          <w:rFonts w:ascii="仿宋_GB2312" w:eastAsia="仿宋_GB2312"/>
          <w:sz w:val="32"/>
          <w:szCs w:val="32"/>
        </w:rPr>
      </w:pPr>
      <w:r>
        <w:rPr>
          <w:rFonts w:ascii="仿宋_GB2312" w:eastAsia="仿宋_GB2312" w:hint="eastAsia"/>
          <w:sz w:val="32"/>
          <w:szCs w:val="32"/>
        </w:rPr>
        <w:t>不支持在线变更的情况包括：</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w:t>
      </w:r>
      <w:r w:rsidR="00451CB6">
        <w:rPr>
          <w:rFonts w:ascii="仿宋_GB2312" w:eastAsia="仿宋_GB2312" w:hint="eastAsia"/>
          <w:sz w:val="32"/>
          <w:szCs w:val="32"/>
        </w:rPr>
        <w:t>1</w:t>
      </w:r>
      <w:r>
        <w:rPr>
          <w:rFonts w:ascii="仿宋_GB2312" w:eastAsia="仿宋_GB2312" w:hint="eastAsia"/>
          <w:sz w:val="32"/>
          <w:szCs w:val="32"/>
        </w:rPr>
        <w:t>）税控设备中发行有机动车销售统一发票、增值税普通（电子）发票、增值税普通（卷式）发票、二手车销售统一发票，但未在防伪税控系统做过发行操作的情况下，不允许增加增值税专用发票和增值税普通发票票种。</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w:t>
      </w:r>
      <w:r w:rsidR="00451CB6">
        <w:rPr>
          <w:rFonts w:ascii="仿宋_GB2312" w:eastAsia="仿宋_GB2312"/>
          <w:sz w:val="32"/>
          <w:szCs w:val="32"/>
        </w:rPr>
        <w:t>2</w:t>
      </w:r>
      <w:r>
        <w:rPr>
          <w:rFonts w:ascii="仿宋_GB2312" w:eastAsia="仿宋_GB2312" w:hint="eastAsia"/>
          <w:sz w:val="32"/>
          <w:szCs w:val="32"/>
        </w:rPr>
        <w:t>）税控设备中发行有增值税专用发票和增值税普通发票，但未在货运系统做过发行操作的情况下，不允许增加机动车销售统一发票、增值税普通发票（电子）、增值税普通发票（卷式）、二手车销售统一发票票种。</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w:t>
      </w:r>
      <w:r w:rsidR="00451CB6">
        <w:rPr>
          <w:rFonts w:ascii="仿宋_GB2312" w:eastAsia="仿宋_GB2312"/>
          <w:sz w:val="32"/>
          <w:szCs w:val="32"/>
        </w:rPr>
        <w:t>3</w:t>
      </w:r>
      <w:r>
        <w:rPr>
          <w:rFonts w:ascii="仿宋_GB2312" w:eastAsia="仿宋_GB2312" w:hint="eastAsia"/>
          <w:sz w:val="32"/>
          <w:szCs w:val="32"/>
        </w:rPr>
        <w:t>）税控系统判断纳税人为风险纳税人时不允许网上变更。</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w:t>
      </w:r>
      <w:r w:rsidR="00451CB6">
        <w:rPr>
          <w:rFonts w:ascii="仿宋_GB2312" w:eastAsia="仿宋_GB2312"/>
          <w:sz w:val="32"/>
          <w:szCs w:val="32"/>
        </w:rPr>
        <w:t>4）</w:t>
      </w:r>
      <w:r w:rsidR="0037024C">
        <w:rPr>
          <w:rFonts w:ascii="仿宋_GB2312" w:eastAsia="仿宋_GB2312" w:hint="eastAsia"/>
          <w:sz w:val="32"/>
          <w:szCs w:val="32"/>
        </w:rPr>
        <w:t>小</w:t>
      </w:r>
      <w:r>
        <w:rPr>
          <w:rFonts w:ascii="仿宋_GB2312" w:eastAsia="仿宋_GB2312" w:hint="eastAsia"/>
          <w:sz w:val="32"/>
          <w:szCs w:val="32"/>
        </w:rPr>
        <w:t>规模纳税人主分机企业使用税控盘时，当纳税人性质变为一般纳税人时，只能第一个开票机的税控盘增加增值税专用发票票种，其它开票机无法增加。</w:t>
      </w:r>
    </w:p>
    <w:p w:rsidR="00A62892" w:rsidRDefault="00C00C47">
      <w:pPr>
        <w:spacing w:line="360" w:lineRule="auto"/>
        <w:rPr>
          <w:rFonts w:ascii="仿宋_GB2312" w:eastAsia="仿宋_GB2312"/>
          <w:sz w:val="32"/>
          <w:szCs w:val="32"/>
        </w:rPr>
      </w:pPr>
      <w:r>
        <w:rPr>
          <w:rFonts w:ascii="仿宋_GB2312" w:eastAsia="仿宋_GB2312" w:hint="eastAsia"/>
          <w:sz w:val="32"/>
          <w:szCs w:val="32"/>
        </w:rPr>
        <w:t>（</w:t>
      </w:r>
      <w:r w:rsidR="00451CB6">
        <w:rPr>
          <w:rFonts w:ascii="仿宋_GB2312" w:eastAsia="仿宋_GB2312"/>
          <w:sz w:val="32"/>
          <w:szCs w:val="32"/>
        </w:rPr>
        <w:t>5）</w:t>
      </w:r>
      <w:r w:rsidR="0037024C">
        <w:rPr>
          <w:rFonts w:ascii="仿宋_GB2312" w:eastAsia="仿宋_GB2312" w:hint="eastAsia"/>
          <w:sz w:val="32"/>
          <w:szCs w:val="32"/>
        </w:rPr>
        <w:t>税</w:t>
      </w:r>
      <w:r>
        <w:rPr>
          <w:rFonts w:ascii="仿宋_GB2312" w:eastAsia="仿宋_GB2312" w:hint="eastAsia"/>
          <w:sz w:val="32"/>
          <w:szCs w:val="32"/>
        </w:rPr>
        <w:t>控盘获取防伪税控系统变更信息写盘失败后，防伪税控系统暂不支持再次返回开票软件变更信息。</w:t>
      </w:r>
    </w:p>
    <w:p w:rsidR="00A62892" w:rsidRDefault="00C00C47">
      <w:pPr>
        <w:spacing w:line="360" w:lineRule="auto"/>
        <w:rPr>
          <w:rFonts w:ascii="仿宋" w:eastAsia="仿宋" w:hAnsi="仿宋" w:cs="仿宋"/>
        </w:rPr>
      </w:pPr>
      <w:r>
        <w:rPr>
          <w:rFonts w:ascii="仿宋_GB2312" w:eastAsia="仿宋_GB2312" w:hint="eastAsia"/>
          <w:sz w:val="32"/>
          <w:szCs w:val="32"/>
        </w:rPr>
        <w:t>（</w:t>
      </w:r>
      <w:r w:rsidR="00451CB6">
        <w:rPr>
          <w:rFonts w:ascii="仿宋_GB2312" w:eastAsia="仿宋_GB2312"/>
          <w:sz w:val="32"/>
          <w:szCs w:val="32"/>
        </w:rPr>
        <w:t>6</w:t>
      </w:r>
      <w:r>
        <w:rPr>
          <w:rFonts w:ascii="仿宋_GB2312" w:eastAsia="仿宋_GB2312" w:hint="eastAsia"/>
          <w:sz w:val="32"/>
          <w:szCs w:val="32"/>
        </w:rPr>
        <w:t>）报税盘不支持增值税专、普票在线变更。</w:t>
      </w:r>
    </w:p>
    <w:sectPr w:rsidR="00A62892" w:rsidSect="004D3204">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23" w:rsidRDefault="00C02623" w:rsidP="00451CB6">
      <w:r>
        <w:separator/>
      </w:r>
    </w:p>
  </w:endnote>
  <w:endnote w:type="continuationSeparator" w:id="1">
    <w:p w:rsidR="00C02623" w:rsidRDefault="00C02623" w:rsidP="0045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23" w:rsidRDefault="00C02623" w:rsidP="00451CB6">
      <w:r>
        <w:separator/>
      </w:r>
    </w:p>
  </w:footnote>
  <w:footnote w:type="continuationSeparator" w:id="1">
    <w:p w:rsidR="00C02623" w:rsidRDefault="00C02623" w:rsidP="0045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4C" w:rsidRDefault="00791E4C" w:rsidP="00791E4C">
    <w:pPr>
      <w:pStyle w:val="a6"/>
      <w:jc w:val="both"/>
    </w:pPr>
    <w:r>
      <w:rPr>
        <w:rFonts w:hint="eastAsia"/>
        <w:noProof/>
      </w:rPr>
      <w:drawing>
        <wp:inline distT="0" distB="0" distL="0" distR="0">
          <wp:extent cx="3810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367" t="19925" r="26679" b="18054"/>
                  <a:stretch/>
                </pic:blipFill>
                <pic:spPr bwMode="auto">
                  <a:xfrm>
                    <a:off x="0" y="0"/>
                    <a:ext cx="399664" cy="3397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hint="eastAsia"/>
      </w:rPr>
      <w:t>厦门百旺金赋信息科技有限公司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9763B"/>
    <w:multiLevelType w:val="singleLevel"/>
    <w:tmpl w:val="8099763B"/>
    <w:lvl w:ilvl="0">
      <w:start w:val="1"/>
      <w:numFmt w:val="decimal"/>
      <w:lvlText w:val="%1."/>
      <w:lvlJc w:val="left"/>
      <w:pPr>
        <w:ind w:left="425" w:hanging="425"/>
      </w:pPr>
      <w:rPr>
        <w:rFonts w:hint="default"/>
      </w:rPr>
    </w:lvl>
  </w:abstractNum>
  <w:abstractNum w:abstractNumId="1">
    <w:nsid w:val="DB0B2684"/>
    <w:multiLevelType w:val="singleLevel"/>
    <w:tmpl w:val="DB0B2684"/>
    <w:lvl w:ilvl="0">
      <w:start w:val="1"/>
      <w:numFmt w:val="chineseCounting"/>
      <w:suff w:val="nothing"/>
      <w:lvlText w:val="%1、"/>
      <w:lvlJc w:val="left"/>
      <w:pPr>
        <w:ind w:left="0" w:firstLine="420"/>
      </w:pPr>
      <w:rPr>
        <w:rFonts w:hint="eastAsia"/>
      </w:rPr>
    </w:lvl>
  </w:abstractNum>
  <w:abstractNum w:abstractNumId="2">
    <w:nsid w:val="00000038"/>
    <w:multiLevelType w:val="multilevel"/>
    <w:tmpl w:val="00000038"/>
    <w:lvl w:ilvl="0">
      <w:start w:val="1"/>
      <w:numFmt w:val="bullet"/>
      <w:lvlText w:val=""/>
      <w:lvlJc w:val="left"/>
      <w:pPr>
        <w:tabs>
          <w:tab w:val="left" w:pos="360"/>
        </w:tabs>
        <w:ind w:left="0" w:firstLine="0"/>
      </w:pPr>
      <w:rPr>
        <w:rFonts w:ascii="Wingdings" w:hAnsi="Wingdings" w:hint="default"/>
        <w:sz w:val="28"/>
      </w:rPr>
    </w:lvl>
    <w:lvl w:ilvl="1">
      <w:start w:val="2"/>
      <w:numFmt w:val="decimal"/>
      <w:lvlText w:val="图2-%2"/>
      <w:lvlJc w:val="center"/>
      <w:pPr>
        <w:tabs>
          <w:tab w:val="left" w:pos="780"/>
        </w:tabs>
        <w:ind w:left="132" w:firstLine="288"/>
      </w:pPr>
      <w:rPr>
        <w:rFonts w:eastAsia="宋体" w:hint="eastAsia"/>
        <w:b w:val="0"/>
        <w:i w:val="0"/>
        <w:sz w:val="18"/>
      </w:rPr>
    </w:lvl>
    <w:lvl w:ilvl="2">
      <w:start w:val="1"/>
      <w:numFmt w:val="bullet"/>
      <w:lvlText w:val=""/>
      <w:lvlJc w:val="left"/>
      <w:pPr>
        <w:tabs>
          <w:tab w:val="left" w:pos="1260"/>
        </w:tabs>
        <w:ind w:left="1260" w:hanging="420"/>
      </w:pPr>
      <w:rPr>
        <w:rFonts w:ascii="Wingdings" w:hAnsi="Wingdings" w:hint="default"/>
      </w:rPr>
    </w:lvl>
    <w:lvl w:ilvl="3">
      <w:start w:val="2"/>
      <w:numFmt w:val="decimalEnclosedCircle"/>
      <w:lvlText w:val="%4"/>
      <w:lvlJc w:val="left"/>
      <w:pPr>
        <w:tabs>
          <w:tab w:val="left" w:pos="1620"/>
        </w:tabs>
        <w:ind w:left="1620" w:hanging="360"/>
      </w:pPr>
      <w:rPr>
        <w:rFonts w:hint="default"/>
      </w:rPr>
    </w:lvl>
    <w:lvl w:ilvl="4">
      <w:start w:val="4"/>
      <w:numFmt w:val="lowerLetter"/>
      <w:lvlText w:val="%5．"/>
      <w:lvlJc w:val="left"/>
      <w:pPr>
        <w:tabs>
          <w:tab w:val="left" w:pos="2040"/>
        </w:tabs>
        <w:ind w:left="2040" w:hanging="360"/>
      </w:pPr>
      <w:rPr>
        <w:rFonts w:eastAsia="黑体" w:hint="default"/>
      </w:rPr>
    </w:lvl>
    <w:lvl w:ilvl="5">
      <w:start w:val="1"/>
      <w:numFmt w:val="decimalEnclosedCircle"/>
      <w:lvlText w:val="%6．"/>
      <w:lvlJc w:val="left"/>
      <w:pPr>
        <w:tabs>
          <w:tab w:val="left" w:pos="5250"/>
        </w:tabs>
        <w:ind w:left="5250" w:hanging="390"/>
      </w:pPr>
      <w:rPr>
        <w:rFonts w:eastAsia="楷体_GB2312"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534"/>
    <w:rsid w:val="00040EFC"/>
    <w:rsid w:val="00055AC0"/>
    <w:rsid w:val="00086E93"/>
    <w:rsid w:val="0014687B"/>
    <w:rsid w:val="001E401C"/>
    <w:rsid w:val="0037024C"/>
    <w:rsid w:val="003D3A94"/>
    <w:rsid w:val="00451CB6"/>
    <w:rsid w:val="004802BD"/>
    <w:rsid w:val="004D3204"/>
    <w:rsid w:val="005662A7"/>
    <w:rsid w:val="0057788A"/>
    <w:rsid w:val="005D4555"/>
    <w:rsid w:val="005D6CB5"/>
    <w:rsid w:val="0062524C"/>
    <w:rsid w:val="00665815"/>
    <w:rsid w:val="006F70BA"/>
    <w:rsid w:val="00791E4C"/>
    <w:rsid w:val="007B3D21"/>
    <w:rsid w:val="007C520D"/>
    <w:rsid w:val="00846942"/>
    <w:rsid w:val="008857A3"/>
    <w:rsid w:val="008B5A51"/>
    <w:rsid w:val="00A37F2A"/>
    <w:rsid w:val="00A40534"/>
    <w:rsid w:val="00A62892"/>
    <w:rsid w:val="00A90BFA"/>
    <w:rsid w:val="00AE0777"/>
    <w:rsid w:val="00C00C47"/>
    <w:rsid w:val="00C02623"/>
    <w:rsid w:val="00C768E5"/>
    <w:rsid w:val="00D03675"/>
    <w:rsid w:val="00D557AA"/>
    <w:rsid w:val="00E01C23"/>
    <w:rsid w:val="00ED463E"/>
    <w:rsid w:val="00F72220"/>
    <w:rsid w:val="010D7C67"/>
    <w:rsid w:val="043E2AEE"/>
    <w:rsid w:val="046E1337"/>
    <w:rsid w:val="04C05022"/>
    <w:rsid w:val="06A13CA9"/>
    <w:rsid w:val="0EAB5938"/>
    <w:rsid w:val="11433442"/>
    <w:rsid w:val="12A922A9"/>
    <w:rsid w:val="132D3461"/>
    <w:rsid w:val="15703EF8"/>
    <w:rsid w:val="157B5938"/>
    <w:rsid w:val="174B43B9"/>
    <w:rsid w:val="177D7CA1"/>
    <w:rsid w:val="195112D1"/>
    <w:rsid w:val="1AB37D62"/>
    <w:rsid w:val="1F69588D"/>
    <w:rsid w:val="20D44D71"/>
    <w:rsid w:val="21BC06B2"/>
    <w:rsid w:val="23784C83"/>
    <w:rsid w:val="26EA355A"/>
    <w:rsid w:val="27322C0C"/>
    <w:rsid w:val="2883187A"/>
    <w:rsid w:val="28E9482E"/>
    <w:rsid w:val="2AEE63A3"/>
    <w:rsid w:val="2CAC1B03"/>
    <w:rsid w:val="2D28480E"/>
    <w:rsid w:val="2D4164AA"/>
    <w:rsid w:val="2E07135F"/>
    <w:rsid w:val="2EB4220F"/>
    <w:rsid w:val="2EBB3ED3"/>
    <w:rsid w:val="2FD2259D"/>
    <w:rsid w:val="31057B52"/>
    <w:rsid w:val="337A136B"/>
    <w:rsid w:val="33EC306C"/>
    <w:rsid w:val="35737C2B"/>
    <w:rsid w:val="36892306"/>
    <w:rsid w:val="370905AA"/>
    <w:rsid w:val="37696D2B"/>
    <w:rsid w:val="39AC5669"/>
    <w:rsid w:val="3BBB228C"/>
    <w:rsid w:val="3C23463E"/>
    <w:rsid w:val="3D420EA1"/>
    <w:rsid w:val="3DA3764E"/>
    <w:rsid w:val="3EBC2707"/>
    <w:rsid w:val="4089469D"/>
    <w:rsid w:val="429A7176"/>
    <w:rsid w:val="42AB4DAE"/>
    <w:rsid w:val="437C51C3"/>
    <w:rsid w:val="43E71F9D"/>
    <w:rsid w:val="4AB91909"/>
    <w:rsid w:val="4AC60BE7"/>
    <w:rsid w:val="4BA11BAE"/>
    <w:rsid w:val="4EF92C51"/>
    <w:rsid w:val="4F281ED0"/>
    <w:rsid w:val="515674C8"/>
    <w:rsid w:val="524F3BC7"/>
    <w:rsid w:val="52581F74"/>
    <w:rsid w:val="526406EE"/>
    <w:rsid w:val="53EC08D1"/>
    <w:rsid w:val="55762BCE"/>
    <w:rsid w:val="57781F6F"/>
    <w:rsid w:val="58B30ECA"/>
    <w:rsid w:val="5A483641"/>
    <w:rsid w:val="5B545833"/>
    <w:rsid w:val="5B644871"/>
    <w:rsid w:val="5B7369E1"/>
    <w:rsid w:val="5DDA2141"/>
    <w:rsid w:val="5EC82AE3"/>
    <w:rsid w:val="6011498B"/>
    <w:rsid w:val="61331A34"/>
    <w:rsid w:val="62D565E2"/>
    <w:rsid w:val="65C91CB4"/>
    <w:rsid w:val="6C0244C8"/>
    <w:rsid w:val="6C265CBB"/>
    <w:rsid w:val="6CDF6A5E"/>
    <w:rsid w:val="702D4D73"/>
    <w:rsid w:val="70B50A7D"/>
    <w:rsid w:val="732B3679"/>
    <w:rsid w:val="737C7254"/>
    <w:rsid w:val="74FC467E"/>
    <w:rsid w:val="75867071"/>
    <w:rsid w:val="7796311C"/>
    <w:rsid w:val="78AB137D"/>
    <w:rsid w:val="7CCC0069"/>
    <w:rsid w:val="7D445C29"/>
    <w:rsid w:val="7E8F34F9"/>
    <w:rsid w:val="7F797B63"/>
    <w:rsid w:val="7FFE6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0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D3204"/>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D3204"/>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204"/>
    <w:rPr>
      <w:sz w:val="18"/>
      <w:szCs w:val="18"/>
    </w:rPr>
  </w:style>
  <w:style w:type="paragraph" w:styleId="a4">
    <w:name w:val="List Paragraph"/>
    <w:basedOn w:val="a"/>
    <w:uiPriority w:val="34"/>
    <w:qFormat/>
    <w:rsid w:val="004D3204"/>
    <w:pPr>
      <w:ind w:firstLineChars="200" w:firstLine="420"/>
    </w:pPr>
  </w:style>
  <w:style w:type="character" w:customStyle="1" w:styleId="Char">
    <w:name w:val="批注框文本 Char"/>
    <w:basedOn w:val="a0"/>
    <w:link w:val="a3"/>
    <w:uiPriority w:val="99"/>
    <w:semiHidden/>
    <w:qFormat/>
    <w:rsid w:val="004D3204"/>
    <w:rPr>
      <w:sz w:val="18"/>
      <w:szCs w:val="18"/>
    </w:rPr>
  </w:style>
  <w:style w:type="paragraph" w:customStyle="1" w:styleId="a5">
    <w:name w:val="说明"/>
    <w:basedOn w:val="a"/>
    <w:qFormat/>
    <w:rsid w:val="004D3204"/>
    <w:pPr>
      <w:tabs>
        <w:tab w:val="left" w:pos="360"/>
      </w:tabs>
    </w:pPr>
    <w:rPr>
      <w:rFonts w:eastAsia="楷体_GB2312"/>
    </w:rPr>
  </w:style>
  <w:style w:type="paragraph" w:styleId="a6">
    <w:name w:val="header"/>
    <w:basedOn w:val="a"/>
    <w:link w:val="Char0"/>
    <w:uiPriority w:val="99"/>
    <w:unhideWhenUsed/>
    <w:rsid w:val="00451C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51CB6"/>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451CB6"/>
    <w:pPr>
      <w:tabs>
        <w:tab w:val="center" w:pos="4153"/>
        <w:tab w:val="right" w:pos="8306"/>
      </w:tabs>
      <w:snapToGrid w:val="0"/>
      <w:jc w:val="left"/>
    </w:pPr>
    <w:rPr>
      <w:sz w:val="18"/>
      <w:szCs w:val="18"/>
    </w:rPr>
  </w:style>
  <w:style w:type="character" w:customStyle="1" w:styleId="Char1">
    <w:name w:val="页脚 Char"/>
    <w:basedOn w:val="a0"/>
    <w:link w:val="a7"/>
    <w:uiPriority w:val="99"/>
    <w:rsid w:val="00451C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郭宏勇</cp:lastModifiedBy>
  <cp:revision>3</cp:revision>
  <dcterms:created xsi:type="dcterms:W3CDTF">2018-07-05T00:43:00Z</dcterms:created>
  <dcterms:modified xsi:type="dcterms:W3CDTF">2018-07-05T00:45:00Z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