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CC6" w:rsidRPr="007A7CC6" w:rsidRDefault="007A7CC6" w:rsidP="007A7CC6">
      <w:pPr>
        <w:spacing w:before="100" w:beforeAutospacing="1" w:after="100" w:afterAutospacing="1" w:line="480" w:lineRule="auto"/>
        <w:ind w:firstLine="480"/>
        <w:jc w:val="both"/>
        <w:rPr>
          <w:rFonts w:ascii="Microsoft YaHei" w:eastAsia="Microsoft YaHei" w:hAnsi="Microsoft YaHei" w:cs="Times New Roman"/>
          <w:sz w:val="21"/>
          <w:szCs w:val="21"/>
          <w:lang w:eastAsia="zh-CN"/>
        </w:rPr>
      </w:pPr>
      <w:r w:rsidRPr="007A7CC6">
        <w:rPr>
          <w:rFonts w:ascii="Microsoft YaHei" w:eastAsia="Microsoft YaHei" w:hAnsi="Microsoft YaHei" w:cs="Times New Roman" w:hint="eastAsia"/>
          <w:sz w:val="21"/>
          <w:szCs w:val="21"/>
          <w:lang w:eastAsia="zh-CN"/>
        </w:rPr>
        <w:t>附件：</w:t>
      </w: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939"/>
      </w:tblGrid>
      <w:tr w:rsidR="007A7CC6" w:rsidRPr="007A7CC6" w:rsidTr="007A7CC6">
        <w:trPr>
          <w:tblCellSpacing w:w="0" w:type="dxa"/>
        </w:trPr>
        <w:tc>
          <w:tcPr>
            <w:tcW w:w="10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福建自贸试验区厦门片区重点产业紧缺人才引进目录</w:t>
            </w:r>
            <w:bookmarkStart w:id="0" w:name="_GoBack"/>
            <w:bookmarkEnd w:id="0"/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 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产业领域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紧缺人才类别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10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一、现代服务业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金融服务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信托投资、理财管理、财务公司、金融租赁、融资租赁、汽车金融、投资银行、债券投资业务、大宗商品交易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创业投资、股权投资、产业投资等各类基金管理，为市场交易服务的登记、托管、清算等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金融数据处理、客户服务、电子支付、金融软件开发等金融后台服务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航运服务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航运要素交易和功能性平台建设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航运融资、资金结算等航运金融服务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航运经纪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邮轮出境专项旅游业务、支持邮轮供应服务、邮轮母港及组合港的配套服务及功</w:t>
            </w: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lastRenderedPageBreak/>
              <w:t>能开发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lastRenderedPageBreak/>
              <w:t>3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信息服务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电子商务相关技术、系统开发应用，第三方电子商务服务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电信增值业务平台建设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商贸流通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跨境电子商务、供应链管理技术服务、品牌营销</w:t>
            </w:r>
          </w:p>
        </w:tc>
      </w:tr>
    </w:tbl>
    <w:p w:rsidR="007A7CC6" w:rsidRPr="007A7CC6" w:rsidRDefault="007A7CC6" w:rsidP="007A7CC6">
      <w:pPr>
        <w:spacing w:after="0" w:line="432" w:lineRule="auto"/>
        <w:jc w:val="both"/>
        <w:rPr>
          <w:rFonts w:ascii="Microsoft YaHei" w:eastAsia="Microsoft YaHei" w:hAnsi="Microsoft YaHei" w:cs="Times New Roman" w:hint="eastAsia"/>
          <w:sz w:val="21"/>
          <w:szCs w:val="21"/>
          <w:lang w:eastAsia="zh-CN"/>
        </w:rPr>
      </w:pP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939"/>
      </w:tblGrid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文化服务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文化艺术、新闻出版、广播影视、动漫游戏等文化内容产业及其衍生品开发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版权交易、文化产权交易、文化活动、演艺经纪、时尚设计创意和制造、时尚活动和艺术展演、文物艺术品拍卖、数字印刷出版（发行）、知识产权专业服务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手机流媒体、移动电视，交互式网络电视等新媒体建设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旅游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国际旅游经纪、旅游服务平台、大型旅游项目、国际邮轮旅游经纪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社会服务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国际医疗服务、高端健康管理、高端养老管理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总部经济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跨国公司、央企、台企、大型民企的区域总部，以及营运中心、管理中心、贸易结算中心、采购销售中心、研发中心等职能型总部，跨境并购运营中心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集成电路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集成电路设计、芯片测试。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103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lastRenderedPageBreak/>
              <w:t>二、先进制造业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航空设备维修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both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大型商用飞机维修、系统维修、小型飞机维修及改造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both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航空发动机及零部件、航空辅助动力系统设计、制造与维修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both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航空器地面模拟训练系统开发制造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both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航空技术服务、现代航空物流、航空商务服务、航空运营支持服务等航空服务业，航空租赁等设备租赁业务</w:t>
            </w:r>
          </w:p>
        </w:tc>
      </w:tr>
    </w:tbl>
    <w:p w:rsidR="007A7CC6" w:rsidRPr="007A7CC6" w:rsidRDefault="007A7CC6" w:rsidP="007A7CC6">
      <w:pPr>
        <w:spacing w:after="0" w:line="432" w:lineRule="auto"/>
        <w:jc w:val="both"/>
        <w:rPr>
          <w:rFonts w:ascii="Microsoft YaHei" w:eastAsia="Microsoft YaHei" w:hAnsi="Microsoft YaHei" w:cs="Times New Roman" w:hint="eastAsia"/>
          <w:sz w:val="21"/>
          <w:szCs w:val="21"/>
          <w:lang w:eastAsia="zh-CN"/>
        </w:rPr>
      </w:pPr>
    </w:p>
    <w:tbl>
      <w:tblPr>
        <w:tblW w:w="103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1560"/>
        <w:gridCol w:w="7939"/>
      </w:tblGrid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新材料、新能源、节能环保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硬质合金、特种丝材、功能材料等钨深加工产品制造及研发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贮氢合金、</w:t>
            </w:r>
            <w:proofErr w:type="gramStart"/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钴酸锂</w:t>
            </w:r>
            <w:proofErr w:type="gramEnd"/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等电动汽车新能源材料及产品制造及研发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节能环保产品制造及研发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jc w:val="center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电子信息、精密电机及其它高端制造业</w:t>
            </w: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芯片研发、精密电机、集成电路制造及研发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机器人、无人机制造及研发</w:t>
            </w:r>
          </w:p>
        </w:tc>
      </w:tr>
      <w:tr w:rsidR="007A7CC6" w:rsidRPr="007A7CC6" w:rsidTr="007A7CC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after="0" w:line="240" w:lineRule="auto"/>
              <w:rPr>
                <w:rFonts w:ascii="Microsoft YaHei" w:eastAsia="Microsoft YaHei" w:hAnsi="Microsoft YaHei" w:cs="Times New Roman"/>
                <w:sz w:val="21"/>
                <w:szCs w:val="21"/>
                <w:lang w:eastAsia="zh-CN"/>
              </w:rPr>
            </w:pPr>
          </w:p>
        </w:tc>
        <w:tc>
          <w:tcPr>
            <w:tcW w:w="7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7CC6" w:rsidRPr="007A7CC6" w:rsidRDefault="007A7CC6" w:rsidP="007A7CC6">
            <w:pPr>
              <w:spacing w:before="100" w:beforeAutospacing="1" w:after="100" w:afterAutospacing="1" w:line="480" w:lineRule="auto"/>
              <w:ind w:firstLine="480"/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</w:pPr>
            <w:r w:rsidRPr="007A7CC6">
              <w:rPr>
                <w:rFonts w:ascii="Microsoft YaHei" w:eastAsia="Microsoft YaHei" w:hAnsi="Microsoft YaHei" w:cs="Times New Roman" w:hint="eastAsia"/>
                <w:sz w:val="21"/>
                <w:szCs w:val="21"/>
                <w:lang w:eastAsia="zh-CN"/>
              </w:rPr>
              <w:t>生物医药制造及研发</w:t>
            </w:r>
          </w:p>
        </w:tc>
      </w:tr>
    </w:tbl>
    <w:p w:rsidR="002F7E83" w:rsidRPr="007A7CC6" w:rsidRDefault="002F7E83" w:rsidP="007A7CC6"/>
    <w:sectPr w:rsidR="002F7E83" w:rsidRPr="007A7CC6" w:rsidSect="007A7CC6">
      <w:pgSz w:w="12240" w:h="15840"/>
      <w:pgMar w:top="1440" w:right="1800" w:bottom="1276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A7CC6"/>
    <w:rsid w:val="002F7E83"/>
    <w:rsid w:val="007A7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50CFF5-8F04-4FD2-A22D-1E965BBA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8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B5C8DF-2AA5-4614-8407-A971A91E1596}"/>
</file>

<file path=customXml/itemProps2.xml><?xml version="1.0" encoding="utf-8"?>
<ds:datastoreItem xmlns:ds="http://schemas.openxmlformats.org/officeDocument/2006/customXml" ds:itemID="{2BF742CA-8C76-4C7E-9513-15E850A18411}"/>
</file>

<file path=customXml/itemProps3.xml><?xml version="1.0" encoding="utf-8"?>
<ds:datastoreItem xmlns:ds="http://schemas.openxmlformats.org/officeDocument/2006/customXml" ds:itemID="{9AAFCD3E-A608-4DBD-95F1-563F3BD2DC2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 WY Wong</dc:creator>
  <cp:keywords/>
  <dc:description/>
  <cp:lastModifiedBy>Agnes WY Wong</cp:lastModifiedBy>
  <cp:revision>2</cp:revision>
  <dcterms:created xsi:type="dcterms:W3CDTF">2018-09-21T02:07:00Z</dcterms:created>
  <dcterms:modified xsi:type="dcterms:W3CDTF">2018-09-21T02:07:00Z</dcterms:modified>
</cp:coreProperties>
</file>