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6771"/>
        </w:tabs>
        <w:wordWrap w:val="0"/>
        <w:spacing w:beforeLines="100" w:afterLines="100" w:line="360" w:lineRule="auto"/>
        <w:ind w:firstLine="0"/>
        <w:jc w:val="center"/>
        <w:outlineLvl w:val="0"/>
        <w:rPr>
          <w:rFonts w:eastAsia="黑体" w:cs="Times New Roman"/>
          <w:b/>
          <w:bCs/>
          <w:color w:val="000000" w:themeColor="text1"/>
          <w:kern w:val="24"/>
          <w:sz w:val="36"/>
          <w:szCs w:val="36"/>
          <w14:textFill>
            <w14:solidFill>
              <w14:schemeClr w14:val="tx1"/>
            </w14:solidFill>
          </w14:textFill>
        </w:rPr>
      </w:pPr>
      <w:bookmarkStart w:id="0" w:name="_Toc25672"/>
      <w:r>
        <w:rPr>
          <w:rFonts w:hint="eastAsia" w:ascii="Times New Roman" w:hAnsi="Times New Roman" w:eastAsia="黑体" w:cs="Times New Roman"/>
          <w:b/>
          <w:bCs/>
          <w:color w:val="000000" w:themeColor="text1"/>
          <w:kern w:val="24"/>
          <w:sz w:val="36"/>
          <w:szCs w:val="36"/>
          <w14:textFill>
            <w14:solidFill>
              <w14:schemeClr w14:val="tx1"/>
            </w14:solidFill>
          </w14:textFill>
        </w:rPr>
        <w:t>13</w:t>
      </w:r>
      <w:r>
        <w:rPr>
          <w:rFonts w:eastAsia="黑体" w:cs="Times New Roman"/>
          <w:b/>
          <w:bCs/>
          <w:color w:val="000000" w:themeColor="text1"/>
          <w:kern w:val="24"/>
          <w:sz w:val="36"/>
          <w:szCs w:val="36"/>
          <w14:textFill>
            <w14:solidFill>
              <w14:schemeClr w14:val="tx1"/>
            </w14:solidFill>
          </w14:textFill>
        </w:rPr>
        <w:t>　纳税服务投诉</w:t>
      </w:r>
      <w:bookmarkEnd w:id="0"/>
      <w:r>
        <w:rPr>
          <w:rFonts w:hint="eastAsia" w:eastAsia="黑体" w:cs="Times New Roman"/>
          <w:b/>
          <w:bCs/>
          <w:color w:val="000000" w:themeColor="text1"/>
          <w:kern w:val="24"/>
          <w:sz w:val="36"/>
          <w:szCs w:val="36"/>
          <w14:textFill>
            <w14:solidFill>
              <w14:schemeClr w14:val="tx1"/>
            </w14:solidFill>
          </w14:textFill>
        </w:rPr>
        <w:t>指南</w:t>
      </w:r>
    </w:p>
    <w:p>
      <w:pPr>
        <w:widowControl/>
        <w:wordWrap w:val="0"/>
        <w:spacing w:line="360" w:lineRule="auto"/>
        <w:ind w:firstLine="480"/>
        <w:rPr>
          <w:rFonts w:eastAsia="楷体_GB2312" w:cs="宋体"/>
          <w:color w:val="000000" w:themeColor="text1"/>
          <w:kern w:val="24"/>
          <w:sz w:val="24"/>
          <w:szCs w:val="24"/>
          <w14:textFill>
            <w14:solidFill>
              <w14:schemeClr w14:val="tx1"/>
            </w14:solidFill>
          </w14:textFill>
        </w:rPr>
      </w:pPr>
      <w:r>
        <w:rPr>
          <w:rFonts w:hint="eastAsia" w:eastAsia="楷体_GB2312" w:cs="宋体"/>
          <w:color w:val="000000" w:themeColor="text1"/>
          <w:kern w:val="24"/>
          <w:sz w:val="24"/>
          <w:szCs w:val="24"/>
          <w14:textFill>
            <w14:solidFill>
              <w14:schemeClr w14:val="tx1"/>
            </w14:solidFill>
          </w14:textFill>
        </w:rPr>
        <w:t>纳税服务投诉</w:t>
      </w:r>
      <w:r>
        <w:rPr>
          <w:rFonts w:hint="eastAsia" w:eastAsia="楷体_GB2312" w:cs="宋体"/>
          <w:color w:val="000000" w:themeColor="text1"/>
          <w:kern w:val="24"/>
          <w:sz w:val="24"/>
          <w:szCs w:val="24"/>
          <w:lang w:eastAsia="zh-CN"/>
          <w14:textFill>
            <w14:solidFill>
              <w14:schemeClr w14:val="tx1"/>
            </w14:solidFill>
          </w14:textFill>
        </w:rPr>
        <w:t>指南</w:t>
      </w:r>
      <w:r>
        <w:rPr>
          <w:rFonts w:hint="eastAsia" w:eastAsia="楷体_GB2312" w:cs="宋体"/>
          <w:color w:val="000000" w:themeColor="text1"/>
          <w:kern w:val="24"/>
          <w:sz w:val="24"/>
          <w:szCs w:val="24"/>
          <w14:textFill>
            <w14:solidFill>
              <w14:schemeClr w14:val="tx1"/>
            </w14:solidFill>
          </w14:textFill>
        </w:rPr>
        <w:t>是指税务机关为维护纳税人（含缴费人、扣缴义务人和其他当事人）的合法权益，规范纳税服务投诉管理，提高投诉办理效率所制定的服务</w:t>
      </w:r>
      <w:r>
        <w:rPr>
          <w:rFonts w:hint="eastAsia" w:eastAsia="楷体_GB2312" w:cs="宋体"/>
          <w:color w:val="000000" w:themeColor="text1"/>
          <w:kern w:val="24"/>
          <w:sz w:val="24"/>
          <w:szCs w:val="24"/>
          <w:lang w:eastAsia="zh-CN"/>
          <w14:textFill>
            <w14:solidFill>
              <w14:schemeClr w14:val="tx1"/>
            </w14:solidFill>
          </w14:textFill>
        </w:rPr>
        <w:t>指南</w:t>
      </w:r>
      <w:r>
        <w:rPr>
          <w:rFonts w:hint="eastAsia" w:eastAsia="楷体_GB2312" w:cs="宋体"/>
          <w:color w:val="000000" w:themeColor="text1"/>
          <w:kern w:val="24"/>
          <w:sz w:val="24"/>
          <w:szCs w:val="24"/>
          <w14:textFill>
            <w14:solidFill>
              <w14:schemeClr w14:val="tx1"/>
            </w14:solidFill>
          </w14:textFill>
        </w:rPr>
        <w:t>，包括纳税服务投诉处理1个事项。</w:t>
      </w:r>
    </w:p>
    <w:p>
      <w:pPr>
        <w:widowControl/>
        <w:wordWrap w:val="0"/>
        <w:spacing w:beforeLines="300" w:afterLines="150" w:line="360" w:lineRule="auto"/>
        <w:ind w:firstLine="643"/>
        <w:outlineLvl w:val="1"/>
        <w:rPr>
          <w:rFonts w:eastAsia="黑体" w:cs="Times New Roman"/>
          <w:b/>
          <w:bCs/>
          <w:color w:val="000000" w:themeColor="text1"/>
          <w:sz w:val="32"/>
          <w:szCs w:val="32"/>
          <w14:textFill>
            <w14:solidFill>
              <w14:schemeClr w14:val="tx1"/>
            </w14:solidFill>
          </w14:textFill>
        </w:rPr>
      </w:pPr>
      <w:bookmarkStart w:id="1" w:name="_Toc5353"/>
      <w:r>
        <w:rPr>
          <w:rFonts w:hint="eastAsia" w:ascii="Times New Roman" w:hAnsi="Times New Roman" w:eastAsia="黑体" w:cs="Times New Roman"/>
          <w:b/>
          <w:bCs/>
          <w:color w:val="000000" w:themeColor="text1"/>
          <w:sz w:val="32"/>
          <w:szCs w:val="32"/>
          <w14:textFill>
            <w14:solidFill>
              <w14:schemeClr w14:val="tx1"/>
            </w14:solidFill>
          </w14:textFill>
        </w:rPr>
        <w:t>13.1</w:t>
      </w:r>
      <w:r>
        <w:rPr>
          <w:rFonts w:ascii="黑体" w:hAnsi="黑体" w:eastAsia="黑体" w:cs="Times New Roman"/>
          <w:b/>
          <w:bCs/>
          <w:color w:val="000000" w:themeColor="text1"/>
          <w:sz w:val="32"/>
          <w:szCs w:val="32"/>
          <w14:textFill>
            <w14:solidFill>
              <w14:schemeClr w14:val="tx1"/>
            </w14:solidFill>
          </w14:textFill>
        </w:rPr>
        <w:t>　</w:t>
      </w:r>
      <w:r>
        <w:rPr>
          <w:rFonts w:eastAsia="黑体" w:cs="Times New Roman"/>
          <w:b/>
          <w:bCs/>
          <w:color w:val="000000" w:themeColor="text1"/>
          <w:sz w:val="32"/>
          <w:szCs w:val="32"/>
          <w14:textFill>
            <w14:solidFill>
              <w14:schemeClr w14:val="tx1"/>
            </w14:solidFill>
          </w14:textFill>
        </w:rPr>
        <w:t>纳税服务投诉</w:t>
      </w:r>
      <w:bookmarkEnd w:id="1"/>
    </w:p>
    <w:p>
      <w:pPr>
        <w:widowControl/>
        <w:wordWrap w:val="0"/>
        <w:spacing w:beforeLines="100"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bookmarkStart w:id="2" w:name="_Toc21573"/>
      <w:r>
        <w:rPr>
          <w:rFonts w:hint="eastAsia" w:ascii="Times New Roman" w:hAnsi="Times New Roman" w:eastAsia="黑体" w:cs="Times New Roman"/>
          <w:b/>
          <w:bCs/>
          <w:color w:val="000000" w:themeColor="text1"/>
          <w:kern w:val="24"/>
          <w:sz w:val="28"/>
          <w:szCs w:val="28"/>
          <w14:textFill>
            <w14:solidFill>
              <w14:schemeClr w14:val="tx1"/>
            </w14:solidFill>
          </w14:textFill>
        </w:rPr>
        <w:t>13.1.1</w:t>
      </w:r>
      <w:r>
        <w:rPr>
          <w:rFonts w:eastAsia="黑体" w:cs="Times New Roman"/>
          <w:b/>
          <w:bCs/>
          <w:color w:val="000000" w:themeColor="text1"/>
          <w:kern w:val="24"/>
          <w:sz w:val="28"/>
          <w:szCs w:val="28"/>
          <w14:textFill>
            <w14:solidFill>
              <w14:schemeClr w14:val="tx1"/>
            </w14:solidFill>
          </w14:textFill>
        </w:rPr>
        <w:t>—</w:t>
      </w:r>
      <w:r>
        <w:rPr>
          <w:rFonts w:hint="eastAsia" w:ascii="Times New Roman" w:hAnsi="Times New Roman" w:eastAsia="黑体" w:cs="Times New Roman"/>
          <w:b/>
          <w:bCs/>
          <w:color w:val="000000" w:themeColor="text1"/>
          <w:kern w:val="24"/>
          <w:sz w:val="28"/>
          <w:szCs w:val="28"/>
          <w14:textFill>
            <w14:solidFill>
              <w14:schemeClr w14:val="tx1"/>
            </w14:solidFill>
          </w14:textFill>
        </w:rPr>
        <w:t>191</w:t>
      </w:r>
      <w:r>
        <w:rPr>
          <w:rFonts w:ascii="黑体" w:hAnsi="黑体" w:eastAsia="黑体" w:cs="Times New Roman"/>
          <w:b/>
          <w:bCs/>
          <w:color w:val="000000" w:themeColor="text1"/>
          <w:kern w:val="24"/>
          <w:sz w:val="28"/>
          <w:szCs w:val="28"/>
          <w14:textFill>
            <w14:solidFill>
              <w14:schemeClr w14:val="tx1"/>
            </w14:solidFill>
          </w14:textFill>
        </w:rPr>
        <w:t>　</w:t>
      </w:r>
      <w:r>
        <w:rPr>
          <w:rFonts w:eastAsia="黑体" w:cs="Times New Roman"/>
          <w:b/>
          <w:bCs/>
          <w:color w:val="000000" w:themeColor="text1"/>
          <w:kern w:val="24"/>
          <w:sz w:val="28"/>
          <w:szCs w:val="28"/>
          <w14:textFill>
            <w14:solidFill>
              <w14:schemeClr w14:val="tx1"/>
            </w14:solidFill>
          </w14:textFill>
        </w:rPr>
        <w:t>纳税服务投诉处理</w:t>
      </w:r>
      <w:bookmarkEnd w:id="2"/>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【事项名称】</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纳税服务投诉处理</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w:t>
      </w:r>
      <w:r>
        <w:rPr>
          <w:rFonts w:hint="eastAsia" w:ascii="黑体" w:hAnsi="黑体" w:eastAsia="黑体" w:cs="Times New Roman"/>
          <w:bCs/>
          <w:color w:val="000000" w:themeColor="text1"/>
          <w:sz w:val="24"/>
          <w:szCs w:val="24"/>
          <w14:textFill>
            <w14:solidFill>
              <w14:schemeClr w14:val="tx1"/>
            </w14:solidFill>
          </w14:textFill>
        </w:rPr>
        <w:t>申请条件</w:t>
      </w:r>
      <w:r>
        <w:rPr>
          <w:rFonts w:ascii="黑体" w:hAnsi="黑体" w:eastAsia="黑体" w:cs="Times New Roman"/>
          <w:bCs/>
          <w:color w:val="000000" w:themeColor="text1"/>
          <w:sz w:val="24"/>
          <w:szCs w:val="24"/>
          <w14:textFill>
            <w14:solidFill>
              <w14:schemeClr w14:val="tx1"/>
            </w14:solidFill>
          </w14:textFill>
        </w:rPr>
        <w:t>】</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纳税人认为税务机关及其工作人员在履行纳税服务职责过程中未提供规范、文明的纳税服务或者有其他侵犯其合法权益的情形，向税务机关进行投诉，税务机关进行受理、调查、处理和结果反馈。</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【设定依据】</w:t>
      </w:r>
    </w:p>
    <w:p>
      <w:pPr>
        <w:widowControl/>
        <w:wordWrap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《国家税务总局关于修订〈纳税服务投诉管理办法〉的公告》（国家税务总局公告</w:t>
      </w:r>
      <w:r>
        <w:rPr>
          <w:rFonts w:hint="eastAsia" w:ascii="Times New Roman" w:hAnsi="Times New Roman" w:cs="Times New Roman"/>
          <w:color w:val="000000" w:themeColor="text1"/>
          <w:sz w:val="24"/>
          <w:szCs w:val="24"/>
          <w14:textFill>
            <w14:solidFill>
              <w14:schemeClr w14:val="tx1"/>
            </w14:solidFill>
          </w14:textFill>
        </w:rPr>
        <w:t>2019</w:t>
      </w:r>
      <w:r>
        <w:rPr>
          <w:rFonts w:ascii="宋体" w:hAnsi="宋体" w:cs="宋体"/>
          <w:color w:val="000000" w:themeColor="text1"/>
          <w:sz w:val="24"/>
          <w:szCs w:val="24"/>
          <w14:textFill>
            <w14:solidFill>
              <w14:schemeClr w14:val="tx1"/>
            </w14:solidFill>
          </w14:textFill>
        </w:rPr>
        <w:t>年第</w:t>
      </w:r>
      <w:r>
        <w:rPr>
          <w:rFonts w:hint="eastAsia" w:ascii="Times New Roman" w:hAnsi="Times New Roman" w:cs="Times New Roman"/>
          <w:color w:val="000000" w:themeColor="text1"/>
          <w:sz w:val="24"/>
          <w:szCs w:val="24"/>
          <w14:textFill>
            <w14:solidFill>
              <w14:schemeClr w14:val="tx1"/>
            </w14:solidFill>
          </w14:textFill>
        </w:rPr>
        <w:t>27</w:t>
      </w:r>
      <w:r>
        <w:rPr>
          <w:rFonts w:ascii="宋体" w:hAnsi="宋体" w:cs="宋体"/>
          <w:color w:val="000000" w:themeColor="text1"/>
          <w:sz w:val="24"/>
          <w:szCs w:val="24"/>
          <w14:textFill>
            <w14:solidFill>
              <w14:schemeClr w14:val="tx1"/>
            </w14:solidFill>
          </w14:textFill>
        </w:rPr>
        <w:t>号）</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【办理材料】</w:t>
      </w:r>
    </w:p>
    <w:tbl>
      <w:tblPr>
        <w:tblStyle w:val="9"/>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537"/>
        <w:gridCol w:w="8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shd w:val="clear" w:color="auto" w:fill="D9D9D9"/>
            <w:vAlign w:val="center"/>
          </w:tcPr>
          <w:p>
            <w:pPr>
              <w:widowControl/>
              <w:wordWrap w:val="0"/>
              <w:spacing w:line="240" w:lineRule="auto"/>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序号</w:t>
            </w:r>
          </w:p>
        </w:tc>
        <w:tc>
          <w:tcPr>
            <w:tcW w:w="5238" w:type="dxa"/>
            <w:gridSpan w:val="2"/>
            <w:shd w:val="clear" w:color="auto" w:fill="D9D9D9"/>
            <w:vAlign w:val="center"/>
          </w:tcPr>
          <w:p>
            <w:pPr>
              <w:widowControl/>
              <w:wordWrap w:val="0"/>
              <w:spacing w:line="240" w:lineRule="auto"/>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材料名称</w:t>
            </w:r>
          </w:p>
        </w:tc>
        <w:tc>
          <w:tcPr>
            <w:tcW w:w="840" w:type="dxa"/>
            <w:shd w:val="clear" w:color="auto" w:fill="D9D9D9"/>
            <w:vAlign w:val="center"/>
          </w:tcPr>
          <w:p>
            <w:pPr>
              <w:widowControl/>
              <w:wordWrap w:val="0"/>
              <w:spacing w:line="240" w:lineRule="auto"/>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数量</w:t>
            </w:r>
          </w:p>
        </w:tc>
        <w:tc>
          <w:tcPr>
            <w:tcW w:w="1406" w:type="dxa"/>
            <w:shd w:val="clear" w:color="auto" w:fill="D9D9D9"/>
            <w:vAlign w:val="center"/>
          </w:tcPr>
          <w:p>
            <w:pPr>
              <w:widowControl/>
              <w:wordWrap w:val="0"/>
              <w:spacing w:line="240" w:lineRule="auto"/>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80" w:type="dxa"/>
            <w:vAlign w:val="center"/>
          </w:tcPr>
          <w:p>
            <w:pPr>
              <w:widowControl/>
              <w:wordWrap w:val="0"/>
              <w:spacing w:line="240" w:lineRule="auto"/>
              <w:jc w:val="center"/>
              <w:rPr>
                <w:rFonts w:ascii="黑体" w:hAnsi="黑体" w:eastAsia="黑体" w:cs="宋体"/>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p>
        </w:tc>
        <w:tc>
          <w:tcPr>
            <w:tcW w:w="5238" w:type="dxa"/>
            <w:gridSpan w:val="2"/>
            <w:vAlign w:val="center"/>
          </w:tcPr>
          <w:p>
            <w:pPr>
              <w:widowControl/>
              <w:wordWrap w:val="0"/>
              <w:spacing w:line="240" w:lineRule="auto"/>
              <w:rPr>
                <w:rFonts w:ascii="黑体" w:hAnsi="黑体" w:eastAsia="黑体" w:cs="宋体"/>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纳税人通过口头或书面形式提供以下内容：</w:t>
            </w:r>
          </w:p>
          <w:p>
            <w:pPr>
              <w:widowControl/>
              <w:wordWrap w:val="0"/>
              <w:spacing w:line="240" w:lineRule="auto"/>
              <w:rPr>
                <w:rFonts w:ascii="黑体" w:hAnsi="黑体" w:eastAsia="黑体" w:cs="宋体"/>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w:t>
            </w: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宋体"/>
                <w:color w:val="000000" w:themeColor="text1"/>
                <w:sz w:val="18"/>
                <w:szCs w:val="18"/>
                <w14:textFill>
                  <w14:solidFill>
                    <w14:schemeClr w14:val="tx1"/>
                  </w14:solidFill>
                </w14:textFill>
              </w:rPr>
              <w:t>）被投诉单位名称或者被投诉个人的相关信息及其所属单位；</w:t>
            </w:r>
          </w:p>
          <w:p>
            <w:pPr>
              <w:widowControl/>
              <w:wordWrap w:val="0"/>
              <w:spacing w:line="240" w:lineRule="auto"/>
              <w:rPr>
                <w:rFonts w:ascii="黑体" w:hAnsi="黑体" w:eastAsia="黑体" w:cs="Times New Roman"/>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w:t>
            </w:r>
            <w:r>
              <w:rPr>
                <w:rFonts w:hint="eastAsia" w:ascii="Times New Roman" w:hAnsi="Times New Roman" w:eastAsia="黑体" w:cs="Times New Roman"/>
                <w:color w:val="000000" w:themeColor="text1"/>
                <w:sz w:val="18"/>
                <w:szCs w:val="18"/>
                <w14:textFill>
                  <w14:solidFill>
                    <w14:schemeClr w14:val="tx1"/>
                  </w14:solidFill>
                </w14:textFill>
              </w:rPr>
              <w:t>2</w:t>
            </w:r>
            <w:r>
              <w:rPr>
                <w:rFonts w:ascii="黑体" w:hAnsi="黑体" w:eastAsia="黑体" w:cs="宋体"/>
                <w:color w:val="000000" w:themeColor="text1"/>
                <w:sz w:val="18"/>
                <w:szCs w:val="18"/>
                <w14:textFill>
                  <w14:solidFill>
                    <w14:schemeClr w14:val="tx1"/>
                  </w14:solidFill>
                </w14:textFill>
              </w:rPr>
              <w:t>）投诉请求、主要事实、理由。</w:t>
            </w:r>
          </w:p>
        </w:tc>
        <w:tc>
          <w:tcPr>
            <w:tcW w:w="840" w:type="dxa"/>
            <w:vAlign w:val="center"/>
          </w:tcPr>
          <w:p>
            <w:pPr>
              <w:widowControl/>
              <w:wordWrap w:val="0"/>
              <w:spacing w:line="240" w:lineRule="auto"/>
              <w:jc w:val="center"/>
              <w:rPr>
                <w:rFonts w:ascii="黑体" w:hAnsi="黑体" w:eastAsia="黑体" w:cs="Times New Roman"/>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宋体"/>
                <w:color w:val="000000" w:themeColor="text1"/>
                <w:sz w:val="18"/>
                <w:szCs w:val="18"/>
                <w14:textFill>
                  <w14:solidFill>
                    <w14:schemeClr w14:val="tx1"/>
                  </w14:solidFill>
                </w14:textFill>
              </w:rPr>
              <w:t>份</w:t>
            </w:r>
          </w:p>
        </w:tc>
        <w:tc>
          <w:tcPr>
            <w:tcW w:w="1406" w:type="dxa"/>
            <w:vAlign w:val="center"/>
          </w:tcPr>
          <w:p>
            <w:pPr>
              <w:widowControl/>
              <w:wordWrap w:val="0"/>
              <w:spacing w:line="240" w:lineRule="auto"/>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64" w:type="dxa"/>
            <w:gridSpan w:val="5"/>
            <w:shd w:val="clear" w:color="auto" w:fill="D9D9D9"/>
            <w:vAlign w:val="center"/>
          </w:tcPr>
          <w:p>
            <w:pPr>
              <w:widowControl/>
              <w:wordWrap w:val="0"/>
              <w:spacing w:line="240" w:lineRule="auto"/>
              <w:jc w:val="center"/>
              <w:rPr>
                <w:rFonts w:ascii="黑体" w:hAnsi="黑体" w:eastAsia="黑体" w:cs="Times New Roman"/>
                <w:color w:val="000000" w:themeColor="text1"/>
                <w:lang w:val="zh-CN"/>
                <w14:textFill>
                  <w14:solidFill>
                    <w14:schemeClr w14:val="tx1"/>
                  </w14:solidFill>
                </w14:textFill>
              </w:rPr>
            </w:pPr>
            <w:r>
              <w:rPr>
                <w:rFonts w:ascii="黑体" w:hAnsi="黑体" w:eastAsia="黑体"/>
                <w:color w:val="000000" w:themeColor="text1"/>
                <w:lang w:val="zh-CN"/>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shd w:val="clear" w:color="auto" w:fill="D9D9D9"/>
            <w:vAlign w:val="center"/>
          </w:tcPr>
          <w:p>
            <w:pPr>
              <w:widowControl/>
              <w:wordWrap w:val="0"/>
              <w:spacing w:line="240" w:lineRule="auto"/>
              <w:jc w:val="center"/>
              <w:rPr>
                <w:rFonts w:ascii="黑体" w:hAnsi="黑体" w:eastAsia="黑体" w:cs="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适用情形</w:t>
            </w:r>
          </w:p>
        </w:tc>
        <w:tc>
          <w:tcPr>
            <w:tcW w:w="3537" w:type="dxa"/>
            <w:shd w:val="clear" w:color="auto" w:fill="D9D9D9"/>
            <w:vAlign w:val="center"/>
          </w:tcPr>
          <w:p>
            <w:pPr>
              <w:widowControl/>
              <w:wordWrap w:val="0"/>
              <w:spacing w:line="240" w:lineRule="auto"/>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材料名称</w:t>
            </w:r>
          </w:p>
        </w:tc>
        <w:tc>
          <w:tcPr>
            <w:tcW w:w="840" w:type="dxa"/>
            <w:shd w:val="clear" w:color="auto" w:fill="D9D9D9"/>
            <w:vAlign w:val="center"/>
          </w:tcPr>
          <w:p>
            <w:pPr>
              <w:widowControl/>
              <w:wordWrap w:val="0"/>
              <w:spacing w:line="240" w:lineRule="auto"/>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数量</w:t>
            </w:r>
          </w:p>
        </w:tc>
        <w:tc>
          <w:tcPr>
            <w:tcW w:w="1406" w:type="dxa"/>
            <w:shd w:val="clear" w:color="auto" w:fill="D9D9D9"/>
            <w:vAlign w:val="center"/>
          </w:tcPr>
          <w:p>
            <w:pPr>
              <w:widowControl/>
              <w:wordWrap w:val="0"/>
              <w:spacing w:line="240" w:lineRule="auto"/>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vAlign w:val="center"/>
          </w:tcPr>
          <w:p>
            <w:pPr>
              <w:widowControl/>
              <w:wordWrap w:val="0"/>
              <w:spacing w:line="240" w:lineRule="auto"/>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实名投诉纳税人</w:t>
            </w:r>
          </w:p>
        </w:tc>
        <w:tc>
          <w:tcPr>
            <w:tcW w:w="3537" w:type="dxa"/>
            <w:vAlign w:val="center"/>
          </w:tcPr>
          <w:p>
            <w:pPr>
              <w:widowControl/>
              <w:wordWrap w:val="0"/>
              <w:spacing w:line="240" w:lineRule="auto"/>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宋体"/>
                <w:color w:val="000000" w:themeColor="text1"/>
                <w:sz w:val="18"/>
                <w:szCs w:val="18"/>
                <w14:textFill>
                  <w14:solidFill>
                    <w14:schemeClr w14:val="tx1"/>
                  </w14:solidFill>
                </w14:textFill>
              </w:rPr>
              <w:t>投诉人的姓名（名称）、有效联系方式</w:t>
            </w:r>
          </w:p>
        </w:tc>
        <w:tc>
          <w:tcPr>
            <w:tcW w:w="840" w:type="dxa"/>
            <w:vAlign w:val="center"/>
          </w:tcPr>
          <w:p>
            <w:pPr>
              <w:widowControl/>
              <w:wordWrap w:val="0"/>
              <w:spacing w:line="240" w:lineRule="auto"/>
              <w:jc w:val="center"/>
              <w:rPr>
                <w:rFonts w:ascii="黑体" w:hAnsi="黑体" w:eastAsia="黑体" w:cs="Times New Roman"/>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1</w:t>
            </w:r>
            <w:r>
              <w:rPr>
                <w:rFonts w:ascii="黑体" w:hAnsi="黑体" w:eastAsia="黑体" w:cs="宋体"/>
                <w:color w:val="000000" w:themeColor="text1"/>
                <w:sz w:val="18"/>
                <w:szCs w:val="18"/>
                <w14:textFill>
                  <w14:solidFill>
                    <w14:schemeClr w14:val="tx1"/>
                  </w14:solidFill>
                </w14:textFill>
              </w:rPr>
              <w:t>份</w:t>
            </w:r>
          </w:p>
        </w:tc>
        <w:tc>
          <w:tcPr>
            <w:tcW w:w="1406" w:type="dxa"/>
            <w:vAlign w:val="center"/>
          </w:tcPr>
          <w:p>
            <w:pPr>
              <w:widowControl/>
              <w:wordWrap w:val="0"/>
              <w:spacing w:line="240" w:lineRule="auto"/>
              <w:jc w:val="center"/>
              <w:rPr>
                <w:rFonts w:ascii="黑体" w:hAnsi="黑体" w:eastAsia="黑体" w:cs="Times New Roman"/>
                <w:color w:val="000000" w:themeColor="text1"/>
                <w:sz w:val="18"/>
                <w:szCs w:val="18"/>
                <w14:textFill>
                  <w14:solidFill>
                    <w14:schemeClr w14:val="tx1"/>
                  </w14:solidFill>
                </w14:textFill>
              </w:rPr>
            </w:pPr>
          </w:p>
        </w:tc>
      </w:tr>
    </w:tbl>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【办理地点】</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可以通过吉林省税务局对外公开的电话进行查询，也可以通过吉林省税务局门户网站（</w:t>
      </w:r>
      <w:bookmarkStart w:id="3" w:name="_GoBack"/>
      <w:bookmarkEnd w:id="3"/>
      <w:r>
        <w:rPr>
          <w:rFonts w:hint="eastAsia" w:ascii="宋体" w:hAnsi="宋体" w:cs="宋体"/>
          <w:color w:val="000000" w:themeColor="text1"/>
          <w:sz w:val="24"/>
          <w:szCs w:val="24"/>
          <w:lang w:eastAsia="zh-CN"/>
          <w14:textFill>
            <w14:solidFill>
              <w14:schemeClr w14:val="tx1"/>
            </w14:solidFill>
          </w14:textFill>
        </w:rPr>
        <w:t>http://jilin.chinatax.gov.cn/</w:t>
      </w:r>
      <w:r>
        <w:rPr>
          <w:rFonts w:hint="eastAsia" w:ascii="宋体" w:hAnsi="宋体" w:cs="宋体"/>
          <w:color w:val="000000" w:themeColor="text1"/>
          <w:sz w:val="24"/>
          <w:szCs w:val="24"/>
          <w14:textFill>
            <w14:solidFill>
              <w14:schemeClr w14:val="tx1"/>
            </w14:solidFill>
          </w14:textFill>
        </w:rPr>
        <w:t>）“纳税服务”专栏或12366纳服热线进行查询。</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【办理机构】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各级税务机关</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【收费标准】</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不收费</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【办理时间】</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属于下列情形的，即时办结：</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）纳税人当场提出投诉，事实简单、清楚，不需要进行调查的；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）一定时期内集中发生的同一投诉事项且已有明确处理意见的。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属于下列情形的，自受理之日起</w:t>
      </w:r>
      <w:r>
        <w:rPr>
          <w:rFonts w:hint="eastAsia" w:ascii="Times New Roman" w:hAnsi="Times New Roman" w:cs="Times New Roman"/>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个工作日内办结：</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）纳税人认为税务机关及其工作人员未准确掌握税收法律法规等相关规定，导致纳税人应享受未享受税收优惠政策的；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）自然人纳税人提出的个人所得税服务投诉；</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）自然人缴费人提出的社会保险费和非税收入征缴服务投诉；</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4</w:t>
      </w:r>
      <w:r>
        <w:rPr>
          <w:rFonts w:ascii="宋体" w:hAnsi="宋体" w:cs="宋体"/>
          <w:color w:val="000000" w:themeColor="text1"/>
          <w:sz w:val="24"/>
          <w:szCs w:val="24"/>
          <w14:textFill>
            <w14:solidFill>
              <w14:schemeClr w14:val="tx1"/>
            </w14:solidFill>
          </w14:textFill>
        </w:rPr>
        <w:t>）涉及其他重大政策落实的服务投诉。</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对服务言行类投诉，自受理之日起</w:t>
      </w:r>
      <w:r>
        <w:rPr>
          <w:rFonts w:hint="eastAsia" w:ascii="Times New Roman" w:hAnsi="Times New Roman" w:cs="Times New Roman"/>
          <w:color w:val="000000" w:themeColor="text1"/>
          <w:sz w:val="24"/>
          <w:szCs w:val="24"/>
          <w14:textFill>
            <w14:solidFill>
              <w14:schemeClr w14:val="tx1"/>
            </w14:solidFill>
          </w14:textFill>
        </w:rPr>
        <w:t>5</w:t>
      </w:r>
      <w:r>
        <w:rPr>
          <w:rFonts w:ascii="宋体" w:hAnsi="宋体" w:cs="宋体"/>
          <w:color w:val="000000" w:themeColor="text1"/>
          <w:sz w:val="24"/>
          <w:szCs w:val="24"/>
          <w14:textFill>
            <w14:solidFill>
              <w14:schemeClr w14:val="tx1"/>
            </w14:solidFill>
          </w14:textFill>
        </w:rPr>
        <w:t>个工作日内办结；服务质效类、其他侵害纳税人合法权益类投诉，自受理之日起</w:t>
      </w:r>
      <w:r>
        <w:rPr>
          <w:rFonts w:hint="eastAsia" w:ascii="Times New Roman" w:hAnsi="Times New Roman" w:cs="Times New Roman"/>
          <w:color w:val="000000" w:themeColor="text1"/>
          <w:sz w:val="24"/>
          <w:szCs w:val="24"/>
          <w14:textFill>
            <w14:solidFill>
              <w14:schemeClr w14:val="tx1"/>
            </w14:solidFill>
          </w14:textFill>
        </w:rPr>
        <w:t>10</w:t>
      </w:r>
      <w:r>
        <w:rPr>
          <w:rFonts w:ascii="宋体" w:hAnsi="宋体" w:cs="宋体"/>
          <w:color w:val="000000" w:themeColor="text1"/>
          <w:sz w:val="24"/>
          <w:szCs w:val="24"/>
          <w14:textFill>
            <w14:solidFill>
              <w14:schemeClr w14:val="tx1"/>
            </w14:solidFill>
          </w14:textFill>
        </w:rPr>
        <w:t>个工作日内办结。</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w:t>
      </w:r>
      <w:r>
        <w:rPr>
          <w:rFonts w:ascii="宋体" w:hAnsi="宋体" w:cs="宋体"/>
          <w:color w:val="000000" w:themeColor="text1"/>
          <w:sz w:val="24"/>
          <w:szCs w:val="24"/>
          <w14:textFill>
            <w14:solidFill>
              <w14:schemeClr w14:val="tx1"/>
            </w14:solidFill>
          </w14:textFill>
        </w:rPr>
        <w:t>因情况复杂不能按期办结的，经受理税务机关纳税服务部门负责人批准，可适当延长办理期限，最长不得超过</w:t>
      </w:r>
      <w:r>
        <w:rPr>
          <w:rFonts w:hint="eastAsia" w:ascii="Times New Roman" w:hAnsi="Times New Roman" w:cs="Times New Roman"/>
          <w:color w:val="000000" w:themeColor="text1"/>
          <w:sz w:val="24"/>
          <w:szCs w:val="24"/>
          <w14:textFill>
            <w14:solidFill>
              <w14:schemeClr w14:val="tx1"/>
            </w14:solidFill>
          </w14:textFill>
        </w:rPr>
        <w:t>10</w:t>
      </w:r>
      <w:r>
        <w:rPr>
          <w:rFonts w:ascii="宋体" w:hAnsi="宋体" w:cs="宋体"/>
          <w:color w:val="000000" w:themeColor="text1"/>
          <w:sz w:val="24"/>
          <w:szCs w:val="24"/>
          <w14:textFill>
            <w14:solidFill>
              <w14:schemeClr w14:val="tx1"/>
            </w14:solidFill>
          </w14:textFill>
        </w:rPr>
        <w:t>个工作日，同时向转办部门进行说明并向投诉人做好解释。</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【联系电话】</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受理投诉的税务机关对外公开的联系电话，</w:t>
      </w:r>
      <w:r>
        <w:rPr>
          <w:rFonts w:hint="eastAsia" w:ascii="宋体" w:hAnsi="宋体" w:cs="宋体"/>
          <w:color w:val="000000" w:themeColor="text1"/>
          <w:sz w:val="24"/>
          <w:szCs w:val="24"/>
          <w14:textFill>
            <w14:solidFill>
              <w14:schemeClr w14:val="tx1"/>
            </w14:solidFill>
          </w14:textFill>
        </w:rPr>
        <w:t>可在吉林省税务局门户网站（</w:t>
      </w:r>
      <w:r>
        <w:rPr>
          <w:rFonts w:hint="eastAsia" w:ascii="宋体" w:hAnsi="宋体" w:cs="宋体"/>
          <w:color w:val="000000" w:themeColor="text1"/>
          <w:sz w:val="24"/>
          <w:szCs w:val="24"/>
          <w:lang w:eastAsia="zh-CN"/>
          <w14:textFill>
            <w14:solidFill>
              <w14:schemeClr w14:val="tx1"/>
            </w14:solidFill>
          </w14:textFill>
        </w:rPr>
        <w:t>http://jilin.chinatax.gov.cn/</w:t>
      </w:r>
      <w:r>
        <w:rPr>
          <w:rFonts w:hint="eastAsia" w:ascii="宋体" w:hAnsi="宋体" w:cs="宋体"/>
          <w:color w:val="000000" w:themeColor="text1"/>
          <w:sz w:val="24"/>
          <w:szCs w:val="24"/>
          <w14:textFill>
            <w14:solidFill>
              <w14:schemeClr w14:val="tx1"/>
            </w14:solidFill>
          </w14:textFill>
        </w:rPr>
        <w:t>）“纳税服务”栏目查询或拨打12366纳税服务热线查询。</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【办理流程】</w:t>
      </w:r>
    </w:p>
    <w:p>
      <w:pPr>
        <w:widowControl/>
        <w:wordWrap w:val="0"/>
        <w:spacing w:line="360" w:lineRule="auto"/>
        <w:jc w:val="left"/>
        <w:rPr>
          <w:rFonts w:ascii="宋体" w:hAnsi="宋体" w:cs="Times New Roman"/>
          <w:b/>
          <w:bCs/>
          <w:color w:val="000000" w:themeColor="text1"/>
          <w:highlight w:val="yellow"/>
          <w14:textFill>
            <w14:solidFill>
              <w14:schemeClr w14:val="tx1"/>
            </w14:solidFill>
          </w14:textFill>
        </w:rPr>
      </w:pPr>
      <w:r>
        <w:rPr>
          <w:rFonts w:ascii="宋体" w:hAnsi="宋体" w:cs="Times New Roman"/>
          <w:b/>
          <w:bCs/>
          <w:color w:val="000000" w:themeColor="text1"/>
          <w14:textFill>
            <w14:solidFill>
              <w14:schemeClr w14:val="tx1"/>
            </w14:solidFill>
          </w14:textFill>
        </w:rPr>
        <w:drawing>
          <wp:inline distT="0" distB="0" distL="0" distR="0">
            <wp:extent cx="4933950" cy="2357755"/>
            <wp:effectExtent l="0" t="0" r="0" b="444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4"/>
                    <a:srcRect/>
                    <a:stretch>
                      <a:fillRect/>
                    </a:stretch>
                  </pic:blipFill>
                  <pic:spPr>
                    <a:xfrm>
                      <a:off x="0" y="0"/>
                      <a:ext cx="4933950" cy="2357981"/>
                    </a:xfrm>
                    <a:prstGeom prst="rect">
                      <a:avLst/>
                    </a:prstGeom>
                    <a:noFill/>
                    <a:ln w="9525">
                      <a:noFill/>
                      <a:miter lim="800000"/>
                      <a:headEnd/>
                      <a:tailEnd/>
                    </a:ln>
                  </pic:spPr>
                </pic:pic>
              </a:graphicData>
            </a:graphic>
          </wp:inline>
        </w:drawing>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【纳税人注意事项】</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纳税人已就具体行政行为申请税务行政复议或者提起税务行政诉讼，但具体行政行为存在不符合文明规范言行问题的，可就该问题单独向税务机关进行投诉。</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纳税人进行纳税服务投诉需遵从税收法律、法规、规章、规范性文件，并客观、真实地反映相关情况，不得隐瞒、捏造、歪曲事实，不得侵害他人合法权益。</w:t>
      </w:r>
    </w:p>
    <w:p>
      <w:pPr>
        <w:widowControl/>
        <w:wordWrap w:val="0"/>
        <w:spacing w:line="360" w:lineRule="auto"/>
        <w:ind w:firstLine="480"/>
        <w:contextualSpacing/>
        <w:rPr>
          <w:rFonts w:ascii="宋体" w:hAnsi="宋体" w:cs="宋体"/>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纳税人通过电话或者当面方式提出投诉的，税务机关在告知纳税人的情况下可以对投诉内容进行录音或者录像。</w:t>
      </w:r>
    </w:p>
    <w:p>
      <w:pPr>
        <w:widowControl/>
        <w:wordWrap w:val="0"/>
        <w:spacing w:line="360" w:lineRule="auto"/>
        <w:ind w:firstLine="480"/>
        <w:contextualSpacing/>
      </w:pPr>
      <w:r>
        <w:rPr>
          <w:rFonts w:hint="eastAsia" w:ascii="Times New Roman" w:hAnsi="Times New Roman" w:cs="Times New Roman"/>
          <w:color w:val="000000" w:themeColor="text1"/>
          <w:sz w:val="24"/>
          <w:szCs w:val="24"/>
          <w14:textFill>
            <w14:solidFill>
              <w14:schemeClr w14:val="tx1"/>
            </w14:solidFill>
          </w14:textFill>
        </w:rPr>
        <w:t>4.</w:t>
      </w:r>
      <w:r>
        <w:rPr>
          <w:rFonts w:ascii="宋体" w:hAnsi="宋体" w:cs="宋体"/>
          <w:color w:val="000000" w:themeColor="text1"/>
          <w:sz w:val="24"/>
          <w:szCs w:val="24"/>
          <w14:textFill>
            <w14:solidFill>
              <w14:schemeClr w14:val="tx1"/>
            </w14:solidFill>
          </w14:textFill>
        </w:rPr>
        <w:t>投诉人捏造事实、恶意投诉，或者干扰和影响正常工作秩序，对税务机关、税务人员造成负面影响的，投诉人应依法承担相应责任。</w:t>
      </w:r>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1"/>
  <w:drawingGridVerticalSpacing w:val="166"/>
  <w:displayHorizontalDrawingGridEvery w:val="0"/>
  <w:displayVerticalDrawingGridEvery w:val="2"/>
  <w:doNotUseMarginsForDrawingGridOrigin w:val="1"/>
  <w:drawingGridHorizontalOrigin w:val="1803"/>
  <w:drawingGridVerticalOrigin w:val="144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5F"/>
    <w:rsid w:val="00190FC0"/>
    <w:rsid w:val="001D5624"/>
    <w:rsid w:val="00220EB0"/>
    <w:rsid w:val="003A0924"/>
    <w:rsid w:val="003C4F50"/>
    <w:rsid w:val="00442AE2"/>
    <w:rsid w:val="004C5186"/>
    <w:rsid w:val="00546438"/>
    <w:rsid w:val="00584A32"/>
    <w:rsid w:val="00617542"/>
    <w:rsid w:val="00666B08"/>
    <w:rsid w:val="00783E54"/>
    <w:rsid w:val="008357F1"/>
    <w:rsid w:val="0087216C"/>
    <w:rsid w:val="00920179"/>
    <w:rsid w:val="009A7D32"/>
    <w:rsid w:val="009C15B9"/>
    <w:rsid w:val="009D5E02"/>
    <w:rsid w:val="00A94FCF"/>
    <w:rsid w:val="00AE3AFA"/>
    <w:rsid w:val="00B42972"/>
    <w:rsid w:val="00D067B7"/>
    <w:rsid w:val="00D4615F"/>
    <w:rsid w:val="00E64248"/>
    <w:rsid w:val="00EB696E"/>
    <w:rsid w:val="00ED57A4"/>
    <w:rsid w:val="0B340DB3"/>
    <w:rsid w:val="0E2B7344"/>
    <w:rsid w:val="169F6728"/>
    <w:rsid w:val="175D3983"/>
    <w:rsid w:val="1CFB6412"/>
    <w:rsid w:val="1F557C58"/>
    <w:rsid w:val="22567BFA"/>
    <w:rsid w:val="2AB37CA8"/>
    <w:rsid w:val="2DBF311F"/>
    <w:rsid w:val="2F3767C0"/>
    <w:rsid w:val="374D1547"/>
    <w:rsid w:val="3A1D1532"/>
    <w:rsid w:val="491E4A7D"/>
    <w:rsid w:val="4A0B7911"/>
    <w:rsid w:val="4FB73FE2"/>
    <w:rsid w:val="54ED716B"/>
    <w:rsid w:val="55313AC0"/>
    <w:rsid w:val="55774854"/>
    <w:rsid w:val="56561A25"/>
    <w:rsid w:val="5CF675E4"/>
    <w:rsid w:val="5D8D3E78"/>
    <w:rsid w:val="632B11B5"/>
    <w:rsid w:val="66C35B8E"/>
    <w:rsid w:val="69E531BD"/>
    <w:rsid w:val="6C3D1409"/>
    <w:rsid w:val="719E073F"/>
    <w:rsid w:val="71C81322"/>
    <w:rsid w:val="7349262E"/>
    <w:rsid w:val="74E23E06"/>
    <w:rsid w:val="791934E0"/>
    <w:rsid w:val="7E7F5778"/>
    <w:rsid w:val="7F57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unhideWhenUsed/>
    <w:qFormat/>
    <w:uiPriority w:val="99"/>
    <w:rPr>
      <w:rFonts w:ascii="宋体" w:eastAsia="宋体"/>
      <w:sz w:val="18"/>
      <w:szCs w:val="18"/>
    </w:rPr>
  </w:style>
  <w:style w:type="paragraph" w:styleId="6">
    <w:name w:val="Balloon Text"/>
    <w:basedOn w:val="1"/>
    <w:link w:val="26"/>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customStyle="1" w:styleId="11">
    <w:name w:val="样式2"/>
    <w:basedOn w:val="9"/>
    <w:qFormat/>
    <w:uiPriority w:val="99"/>
    <w:tblPr>
      <w:tblCellMar>
        <w:top w:w="0" w:type="dxa"/>
        <w:left w:w="108" w:type="dxa"/>
        <w:bottom w:w="0" w:type="dxa"/>
        <w:right w:w="108" w:type="dxa"/>
      </w:tblCellMar>
    </w:tbl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正文正文"/>
    <w:basedOn w:val="1"/>
    <w:link w:val="15"/>
    <w:qFormat/>
    <w:uiPriority w:val="99"/>
    <w:pPr>
      <w:adjustRightInd w:val="0"/>
      <w:snapToGrid w:val="0"/>
      <w:spacing w:line="360" w:lineRule="auto"/>
      <w:ind w:firstLine="480" w:firstLineChars="200"/>
    </w:pPr>
    <w:rPr>
      <w:rFonts w:ascii="宋体" w:hAnsi="宋体" w:eastAsia="宋体" w:cs="Times New Roman"/>
      <w:kern w:val="0"/>
      <w:sz w:val="24"/>
      <w:szCs w:val="24"/>
    </w:rPr>
  </w:style>
  <w:style w:type="character" w:customStyle="1" w:styleId="15">
    <w:name w:val="正文正文 字符"/>
    <w:link w:val="14"/>
    <w:qFormat/>
    <w:locked/>
    <w:uiPriority w:val="99"/>
    <w:rPr>
      <w:rFonts w:ascii="宋体" w:hAnsi="宋体" w:eastAsia="宋体" w:cs="Times New Roman"/>
      <w:kern w:val="0"/>
      <w:sz w:val="24"/>
      <w:szCs w:val="24"/>
    </w:rPr>
  </w:style>
  <w:style w:type="paragraph" w:customStyle="1" w:styleId="16">
    <w:name w:val="样式1【标准】"/>
    <w:basedOn w:val="2"/>
    <w:link w:val="17"/>
    <w:qFormat/>
    <w:uiPriority w:val="0"/>
    <w:pPr>
      <w:tabs>
        <w:tab w:val="center" w:pos="4153"/>
        <w:tab w:val="left" w:pos="6771"/>
      </w:tabs>
      <w:topLinePunct/>
      <w:autoSpaceDE w:val="0"/>
      <w:autoSpaceDN w:val="0"/>
      <w:adjustRightInd w:val="0"/>
      <w:spacing w:beforeLines="100" w:afterLines="100" w:line="360" w:lineRule="auto"/>
      <w:ind w:firstLine="723" w:firstLineChars="200"/>
      <w:jc w:val="center"/>
    </w:pPr>
    <w:rPr>
      <w:rFonts w:ascii="Times New Roman" w:hAnsi="Times New Roman" w:eastAsia="黑体" w:cs="Times New Roman"/>
      <w:bCs w:val="0"/>
      <w:kern w:val="24"/>
      <w:sz w:val="36"/>
      <w:szCs w:val="36"/>
    </w:rPr>
  </w:style>
  <w:style w:type="character" w:customStyle="1" w:styleId="17">
    <w:name w:val="样式1【标准】 字符"/>
    <w:link w:val="16"/>
    <w:qFormat/>
    <w:uiPriority w:val="0"/>
    <w:rPr>
      <w:rFonts w:ascii="Times New Roman" w:hAnsi="Times New Roman" w:eastAsia="黑体" w:cs="Times New Roman"/>
      <w:b/>
      <w:kern w:val="24"/>
      <w:sz w:val="36"/>
      <w:szCs w:val="36"/>
    </w:rPr>
  </w:style>
  <w:style w:type="paragraph" w:customStyle="1" w:styleId="18">
    <w:name w:val="二级标题"/>
    <w:basedOn w:val="3"/>
    <w:link w:val="19"/>
    <w:qFormat/>
    <w:uiPriority w:val="0"/>
    <w:pPr>
      <w:spacing w:beforeLines="150" w:afterLines="150" w:line="360" w:lineRule="auto"/>
      <w:ind w:firstLine="643" w:firstLineChars="200"/>
    </w:pPr>
    <w:rPr>
      <w:rFonts w:ascii="Times New Roman" w:hAnsi="Times New Roman" w:eastAsia="黑体" w:cs="Times New Roman"/>
    </w:rPr>
  </w:style>
  <w:style w:type="character" w:customStyle="1" w:styleId="19">
    <w:name w:val="二级标题 字符"/>
    <w:link w:val="18"/>
    <w:qFormat/>
    <w:uiPriority w:val="0"/>
    <w:rPr>
      <w:rFonts w:ascii="Times New Roman" w:hAnsi="Times New Roman" w:eastAsia="黑体" w:cs="Times New Roman"/>
      <w:b/>
      <w:bCs/>
      <w:sz w:val="32"/>
      <w:szCs w:val="32"/>
    </w:rPr>
  </w:style>
  <w:style w:type="paragraph" w:customStyle="1" w:styleId="20">
    <w:name w:val="3 sunshine"/>
    <w:basedOn w:val="4"/>
    <w:link w:val="21"/>
    <w:qFormat/>
    <w:uiPriority w:val="0"/>
    <w:pPr>
      <w:keepLines w:val="0"/>
      <w:topLinePunct/>
      <w:adjustRightInd w:val="0"/>
      <w:snapToGrid w:val="0"/>
      <w:spacing w:beforeLines="100" w:afterLines="100" w:line="360" w:lineRule="auto"/>
      <w:ind w:firstLine="562" w:firstLineChars="200"/>
    </w:pPr>
    <w:rPr>
      <w:rFonts w:ascii="Times New Roman" w:hAnsi="Times New Roman" w:eastAsia="黑体" w:cs="Times New Roman"/>
      <w:kern w:val="24"/>
      <w:sz w:val="28"/>
      <w:szCs w:val="28"/>
    </w:rPr>
  </w:style>
  <w:style w:type="character" w:customStyle="1" w:styleId="21">
    <w:name w:val="3 sunshine 字符"/>
    <w:link w:val="20"/>
    <w:qFormat/>
    <w:uiPriority w:val="0"/>
    <w:rPr>
      <w:rFonts w:ascii="Times New Roman" w:hAnsi="Times New Roman" w:eastAsia="黑体" w:cs="Times New Roman"/>
      <w:b/>
      <w:bCs/>
      <w:kern w:val="24"/>
      <w:sz w:val="28"/>
      <w:szCs w:val="28"/>
    </w:rPr>
  </w:style>
  <w:style w:type="character" w:customStyle="1" w:styleId="22">
    <w:name w:val="标题 1 Char"/>
    <w:basedOn w:val="10"/>
    <w:link w:val="2"/>
    <w:qFormat/>
    <w:uiPriority w:val="9"/>
    <w:rPr>
      <w:rFonts w:ascii="等线" w:hAnsi="等线" w:eastAsia="等线" w:cs="等线"/>
      <w:b/>
      <w:bCs/>
      <w:kern w:val="44"/>
      <w:sz w:val="44"/>
      <w:szCs w:val="44"/>
    </w:rPr>
  </w:style>
  <w:style w:type="character" w:customStyle="1" w:styleId="23">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24">
    <w:name w:val="标题 3 Char"/>
    <w:basedOn w:val="10"/>
    <w:link w:val="4"/>
    <w:semiHidden/>
    <w:qFormat/>
    <w:uiPriority w:val="9"/>
    <w:rPr>
      <w:rFonts w:ascii="等线" w:hAnsi="等线" w:eastAsia="等线" w:cs="等线"/>
      <w:b/>
      <w:bCs/>
      <w:sz w:val="32"/>
      <w:szCs w:val="32"/>
    </w:rPr>
  </w:style>
  <w:style w:type="character" w:customStyle="1" w:styleId="25">
    <w:name w:val="文档结构图 Char"/>
    <w:basedOn w:val="10"/>
    <w:link w:val="5"/>
    <w:semiHidden/>
    <w:qFormat/>
    <w:uiPriority w:val="99"/>
    <w:rPr>
      <w:rFonts w:ascii="宋体" w:hAnsi="等线" w:eastAsia="宋体" w:cs="等线"/>
      <w:sz w:val="18"/>
      <w:szCs w:val="18"/>
    </w:rPr>
  </w:style>
  <w:style w:type="character" w:customStyle="1" w:styleId="26">
    <w:name w:val="批注框文本 Char"/>
    <w:basedOn w:val="10"/>
    <w:link w:val="6"/>
    <w:semiHidden/>
    <w:qFormat/>
    <w:uiPriority w:val="99"/>
    <w:rPr>
      <w:rFonts w:ascii="等线" w:hAnsi="等线" w:eastAsia="等线" w:cs="等线"/>
      <w:sz w:val="18"/>
      <w:szCs w:val="18"/>
    </w:rPr>
  </w:style>
  <w:style w:type="paragraph" w:customStyle="1" w:styleId="27">
    <w:name w:val="材料 表头"/>
    <w:basedOn w:val="28"/>
    <w:qFormat/>
    <w:uiPriority w:val="0"/>
  </w:style>
  <w:style w:type="paragraph" w:customStyle="1" w:styleId="28">
    <w:name w:val="政策 表头"/>
    <w:basedOn w:val="1"/>
    <w:qFormat/>
    <w:uiPriority w:val="0"/>
    <w:pPr>
      <w:jc w:val="center"/>
    </w:pPr>
    <w:rPr>
      <w:rFonts w:ascii="黑体" w:hAnsi="黑体" w:eastAsia="黑体"/>
      <w:lang w:val="zh-CN"/>
    </w:rPr>
  </w:style>
  <w:style w:type="paragraph" w:customStyle="1" w:styleId="29">
    <w:name w:val="材料 文本"/>
    <w:basedOn w:val="1"/>
    <w:qFormat/>
    <w:uiPriority w:val="0"/>
    <w:pPr>
      <w:jc w:val="center"/>
    </w:pPr>
    <w:rPr>
      <w:rFonts w:ascii="黑体" w:hAnsi="黑体" w:eastAsia="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Words>
  <Characters>1051</Characters>
  <Lines>8</Lines>
  <Paragraphs>2</Paragraphs>
  <TotalTime>3</TotalTime>
  <ScaleCrop>false</ScaleCrop>
  <LinksUpToDate>false</LinksUpToDate>
  <CharactersWithSpaces>1233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2019-07-08T08:59:00Z</dcterms:created>
  <dc:creator>伟 张</dc:creator>
  <cp:lastModifiedBy>稳稳的幸福</cp:lastModifiedBy>
  <dcterms:modified xsi:type="dcterms:W3CDTF">2019-10-31T05:34:36Z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