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keepNext w:val="0"/>
        <w:keepLines w:val="0"/>
        <w:pageBreakBefore w:val="0"/>
        <w:widowControl w:val="0"/>
        <w:kinsoku/>
        <w:wordWrap w:val="0"/>
        <w:overflowPunct/>
        <w:topLinePunct w:val="0"/>
        <w:autoSpaceDE/>
        <w:autoSpaceDN/>
        <w:bidi w:val="0"/>
        <w:adjustRightInd/>
        <w:snapToGrid/>
        <w:spacing w:before="460" w:after="460"/>
        <w:textAlignment w:val="auto"/>
        <w:rPr>
          <w:bCs/>
          <w:color w:val="auto"/>
        </w:rPr>
      </w:pPr>
      <w:bookmarkStart w:id="0" w:name="_Toc459382423"/>
      <w:bookmarkStart w:id="1" w:name="_Toc28361"/>
      <w:bookmarkStart w:id="2" w:name="_Toc25441"/>
      <w:bookmarkStart w:id="3" w:name="_Toc12415"/>
      <w:bookmarkStart w:id="4" w:name="_Toc23402"/>
      <w:bookmarkStart w:id="5" w:name="_Toc23904"/>
      <w:bookmarkStart w:id="6" w:name="_Toc21085"/>
      <w:bookmarkStart w:id="7" w:name="_Toc2461"/>
      <w:bookmarkStart w:id="8" w:name="_Toc25425"/>
      <w:bookmarkStart w:id="9" w:name="_Toc11178"/>
      <w:bookmarkStart w:id="10" w:name="_Toc1566"/>
      <w:bookmarkStart w:id="11" w:name="_Toc9498"/>
      <w:bookmarkStart w:id="12" w:name="_Toc27085"/>
      <w:bookmarkStart w:id="13" w:name="_Toc12191"/>
      <w:bookmarkStart w:id="14" w:name="_Toc12343"/>
      <w:bookmarkStart w:id="15" w:name="_Toc3205"/>
      <w:bookmarkStart w:id="16" w:name="_Toc5696"/>
      <w:bookmarkStart w:id="17" w:name="_Toc2420"/>
      <w:r>
        <w:rPr>
          <w:rFonts w:hint="eastAsia"/>
          <w:bCs/>
          <w:color w:val="auto"/>
        </w:rPr>
        <w:t>5　证明办理</w:t>
      </w:r>
      <w:r>
        <w:rPr>
          <w:rFonts w:hint="eastAsia"/>
          <w:bCs/>
          <w:color w:val="auto"/>
          <w:lang w:eastAsia="zh-CN"/>
        </w:rPr>
        <w:t>指南</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楷体" w:hAnsi="楷体" w:eastAsia="楷体"/>
          <w:color w:val="auto"/>
          <w:sz w:val="24"/>
          <w:szCs w:val="24"/>
        </w:rPr>
      </w:pPr>
      <w:r>
        <w:rPr>
          <w:rFonts w:hint="eastAsia" w:ascii="楷体" w:hAnsi="楷体" w:eastAsia="楷体"/>
          <w:color w:val="auto"/>
          <w:sz w:val="24"/>
          <w:szCs w:val="24"/>
        </w:rPr>
        <w:t>税收证明，是指主管税务机关依法为纳税人出具的对其资产、行为、收入征（免）税情况的要式证明，供纳税人提交第三方使用。证明办理</w:t>
      </w:r>
      <w:r>
        <w:rPr>
          <w:rFonts w:hint="eastAsia" w:ascii="楷体" w:hAnsi="楷体" w:eastAsia="楷体"/>
          <w:color w:val="auto"/>
          <w:sz w:val="24"/>
          <w:szCs w:val="24"/>
          <w:lang w:eastAsia="zh-CN"/>
        </w:rPr>
        <w:t>指南适用于</w:t>
      </w:r>
      <w:r>
        <w:rPr>
          <w:rFonts w:hint="eastAsia" w:ascii="楷体" w:hAnsi="楷体" w:eastAsia="楷体"/>
          <w:color w:val="auto"/>
          <w:sz w:val="24"/>
          <w:szCs w:val="24"/>
        </w:rPr>
        <w:t>纳税人</w:t>
      </w:r>
      <w:r>
        <w:rPr>
          <w:rFonts w:hint="eastAsia" w:ascii="楷体" w:hAnsi="楷体" w:eastAsia="楷体"/>
          <w:color w:val="auto"/>
          <w:sz w:val="24"/>
          <w:szCs w:val="24"/>
          <w:lang w:eastAsia="zh-CN"/>
        </w:rPr>
        <w:t>到税务机关</w:t>
      </w:r>
      <w:r>
        <w:rPr>
          <w:rFonts w:hint="eastAsia" w:ascii="楷体" w:hAnsi="楷体" w:eastAsia="楷体"/>
          <w:color w:val="auto"/>
          <w:sz w:val="24"/>
          <w:szCs w:val="24"/>
        </w:rPr>
        <w:t>办理</w:t>
      </w:r>
      <w:r>
        <w:rPr>
          <w:rFonts w:hint="eastAsia" w:ascii="楷体" w:hAnsi="楷体" w:eastAsia="楷体"/>
          <w:color w:val="auto"/>
          <w:sz w:val="24"/>
          <w:szCs w:val="24"/>
          <w:lang w:eastAsia="zh-CN"/>
        </w:rPr>
        <w:t>相关</w:t>
      </w:r>
      <w:r>
        <w:rPr>
          <w:rFonts w:hint="eastAsia" w:ascii="楷体" w:hAnsi="楷体" w:eastAsia="楷体"/>
          <w:color w:val="auto"/>
          <w:sz w:val="24"/>
          <w:szCs w:val="24"/>
        </w:rPr>
        <w:t>税收证明开具</w:t>
      </w:r>
      <w:r>
        <w:rPr>
          <w:rFonts w:hint="eastAsia" w:ascii="楷体" w:hAnsi="楷体" w:eastAsia="楷体"/>
          <w:color w:val="auto"/>
          <w:sz w:val="24"/>
          <w:szCs w:val="24"/>
          <w:lang w:eastAsia="zh-CN"/>
        </w:rPr>
        <w:t>业务</w:t>
      </w:r>
      <w:r>
        <w:rPr>
          <w:rFonts w:hint="eastAsia" w:ascii="楷体" w:hAnsi="楷体" w:eastAsia="楷体"/>
          <w:color w:val="auto"/>
          <w:sz w:val="24"/>
          <w:szCs w:val="24"/>
        </w:rPr>
        <w:t>，包括1</w:t>
      </w:r>
      <w:r>
        <w:rPr>
          <w:rFonts w:hint="eastAsia" w:ascii="楷体" w:hAnsi="楷体" w:eastAsia="楷体"/>
          <w:color w:val="auto"/>
          <w:sz w:val="24"/>
          <w:szCs w:val="24"/>
          <w:lang w:eastAsia="zh-CN"/>
        </w:rPr>
        <w:t>类</w:t>
      </w:r>
      <w:r>
        <w:rPr>
          <w:rFonts w:hint="eastAsia" w:ascii="楷体" w:hAnsi="楷体" w:eastAsia="楷体"/>
          <w:color w:val="auto"/>
          <w:sz w:val="24"/>
          <w:szCs w:val="24"/>
          <w:lang w:val="en-US" w:eastAsia="zh-CN"/>
        </w:rPr>
        <w:t>3</w:t>
      </w:r>
      <w:r>
        <w:rPr>
          <w:rFonts w:hint="eastAsia" w:ascii="楷体" w:hAnsi="楷体" w:eastAsia="楷体"/>
          <w:color w:val="auto"/>
          <w:sz w:val="24"/>
          <w:szCs w:val="24"/>
        </w:rPr>
        <w:t>个事项。</w:t>
      </w:r>
    </w:p>
    <w:p>
      <w:pPr>
        <w:pStyle w:val="48"/>
        <w:keepNext w:val="0"/>
        <w:keepLines w:val="0"/>
        <w:pageBreakBefore w:val="0"/>
        <w:widowControl w:val="0"/>
        <w:kinsoku/>
        <w:wordWrap w:val="0"/>
        <w:overflowPunct/>
        <w:topLinePunct w:val="0"/>
        <w:autoSpaceDE/>
        <w:autoSpaceDN/>
        <w:bidi w:val="0"/>
        <w:adjustRightInd/>
        <w:snapToGrid/>
        <w:spacing w:beforeLines="300" w:after="690"/>
        <w:textAlignment w:val="auto"/>
        <w:rPr>
          <w:color w:val="auto"/>
        </w:rPr>
      </w:pPr>
      <w:r>
        <w:rPr>
          <w:rFonts w:hint="eastAsia"/>
          <w:color w:val="auto"/>
        </w:rPr>
        <w:t>5</w:t>
      </w:r>
      <w:r>
        <w:rPr>
          <w:rFonts w:hint="eastAsia" w:ascii="Times New Roman" w:hAnsi="Times New Roman"/>
          <w:color w:val="auto"/>
          <w:lang w:eastAsia="zh-CN"/>
        </w:rPr>
        <w:t>.</w:t>
      </w:r>
      <w:r>
        <w:rPr>
          <w:rFonts w:hint="eastAsia"/>
          <w:color w:val="auto"/>
        </w:rPr>
        <w:t>1</w:t>
      </w:r>
      <w:r>
        <w:rPr>
          <w:color w:val="auto"/>
        </w:rPr>
        <w:t>　</w:t>
      </w:r>
      <w:r>
        <w:rPr>
          <w:rFonts w:hint="eastAsia"/>
          <w:color w:val="auto"/>
        </w:rPr>
        <w:t>证明开具</w:t>
      </w:r>
    </w:p>
    <w:p>
      <w:pPr>
        <w:keepNext w:val="0"/>
        <w:keepLines w:val="0"/>
        <w:pageBreakBefore w:val="0"/>
        <w:widowControl w:val="0"/>
        <w:kinsoku/>
        <w:wordWrap w:val="0"/>
        <w:overflowPunct/>
        <w:topLinePunct w:val="0"/>
        <w:autoSpaceDE/>
        <w:autoSpaceDN/>
        <w:bidi w:val="0"/>
        <w:adjustRightInd/>
        <w:snapToGrid/>
        <w:spacing w:beforeLines="100" w:afterLines="100" w:line="360" w:lineRule="auto"/>
        <w:ind w:firstLine="560" w:firstLineChars="200"/>
        <w:textAlignment w:val="auto"/>
        <w:outlineLvl w:val="2"/>
        <w:rPr>
          <w:rFonts w:ascii="Times New Roman" w:hAnsi="Times New Roman" w:eastAsia="黑体" w:cs="Times New Roman"/>
          <w:b/>
          <w:bCs/>
          <w:color w:val="auto"/>
          <w:kern w:val="24"/>
          <w:sz w:val="28"/>
          <w:szCs w:val="28"/>
        </w:rPr>
      </w:pPr>
      <w:r>
        <w:rPr>
          <w:rFonts w:hint="eastAsia" w:ascii="Times New Roman" w:hAnsi="Times New Roman" w:eastAsia="黑体" w:cs="Times New Roman"/>
          <w:b/>
          <w:bCs/>
          <w:color w:val="auto"/>
          <w:kern w:val="24"/>
          <w:sz w:val="28"/>
          <w:szCs w:val="28"/>
        </w:rPr>
        <w:t>5</w:t>
      </w:r>
      <w:r>
        <w:rPr>
          <w:rFonts w:hint="eastAsia" w:ascii="Times New Roman" w:hAnsi="Times New Roman" w:eastAsia="黑体" w:cs="Times New Roman"/>
          <w:b/>
          <w:bCs/>
          <w:color w:val="auto"/>
          <w:kern w:val="24"/>
          <w:sz w:val="28"/>
          <w:szCs w:val="28"/>
          <w:lang w:eastAsia="zh-CN"/>
        </w:rPr>
        <w:t>.</w:t>
      </w:r>
      <w:r>
        <w:rPr>
          <w:rFonts w:ascii="Times New Roman" w:hAnsi="Times New Roman" w:eastAsia="黑体" w:cs="Times New Roman"/>
          <w:b/>
          <w:bCs/>
          <w:color w:val="auto"/>
          <w:kern w:val="24"/>
          <w:sz w:val="28"/>
          <w:szCs w:val="28"/>
        </w:rPr>
        <w:t>1</w:t>
      </w:r>
      <w:r>
        <w:rPr>
          <w:rFonts w:hint="eastAsia" w:ascii="Times New Roman" w:hAnsi="Times New Roman" w:eastAsia="黑体" w:cs="Times New Roman"/>
          <w:b/>
          <w:bCs/>
          <w:color w:val="auto"/>
          <w:kern w:val="24"/>
          <w:sz w:val="28"/>
          <w:szCs w:val="28"/>
          <w:lang w:eastAsia="zh-CN"/>
        </w:rPr>
        <w:t>.</w:t>
      </w:r>
      <w:r>
        <w:rPr>
          <w:rFonts w:ascii="Times New Roman" w:hAnsi="Times New Roman" w:eastAsia="黑体" w:cs="Times New Roman"/>
          <w:b/>
          <w:bCs/>
          <w:color w:val="auto"/>
          <w:kern w:val="24"/>
          <w:sz w:val="28"/>
          <w:szCs w:val="28"/>
        </w:rPr>
        <w:t>1—</w:t>
      </w:r>
      <w:r>
        <w:rPr>
          <w:rFonts w:hint="eastAsia" w:ascii="Times New Roman" w:hAnsi="Times New Roman" w:eastAsia="黑体" w:cs="Times New Roman"/>
          <w:b/>
          <w:bCs/>
          <w:color w:val="auto"/>
          <w:kern w:val="24"/>
          <w:sz w:val="28"/>
          <w:szCs w:val="28"/>
        </w:rPr>
        <w:t>1</w:t>
      </w:r>
      <w:r>
        <w:rPr>
          <w:rFonts w:hint="eastAsia" w:ascii="Times New Roman" w:hAnsi="Times New Roman" w:eastAsia="黑体" w:cs="Times New Roman"/>
          <w:b/>
          <w:bCs/>
          <w:color w:val="auto"/>
          <w:kern w:val="24"/>
          <w:sz w:val="28"/>
          <w:szCs w:val="28"/>
          <w:lang w:val="en-US" w:eastAsia="zh-CN"/>
        </w:rPr>
        <w:t>29</w:t>
      </w:r>
      <w:r>
        <w:rPr>
          <w:rFonts w:hint="eastAsia" w:ascii="Times New Roman" w:hAnsi="Times New Roman" w:eastAsia="黑体" w:cs="Times New Roman"/>
          <w:b/>
          <w:bCs/>
          <w:color w:val="auto"/>
          <w:kern w:val="24"/>
          <w:sz w:val="28"/>
          <w:szCs w:val="28"/>
        </w:rPr>
        <w:t>　开具税收完税证明</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auto"/>
          <w:sz w:val="24"/>
          <w:szCs w:val="24"/>
        </w:rPr>
      </w:pPr>
      <w:r>
        <w:rPr>
          <w:rFonts w:hint="eastAsia" w:ascii="黑体" w:hAnsi="黑体" w:eastAsia="黑体" w:cs="Times New Roman"/>
          <w:bCs/>
          <w:color w:val="auto"/>
          <w:sz w:val="24"/>
          <w:szCs w:val="24"/>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开具税收完税证明</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lang w:eastAsia="zh-CN"/>
        </w:rPr>
      </w:pPr>
      <w:r>
        <w:rPr>
          <w:rFonts w:hint="eastAsia" w:ascii="宋体" w:hAnsi="宋体" w:eastAsia="宋体"/>
          <w:color w:val="auto"/>
          <w:sz w:val="24"/>
          <w:szCs w:val="24"/>
          <w:lang w:eastAsia="zh-CN"/>
        </w:rPr>
        <w:t>【申请条件】</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税收完税证明是税务机关为证明纳税人已经缴纳税款或者已经退还纳税人税款而开具的凭证。纳税人符合下列情形之一的，可以申请</w:t>
      </w:r>
      <w:r>
        <w:rPr>
          <w:rFonts w:hint="eastAsia" w:ascii="宋体" w:hAnsi="宋体" w:eastAsia="宋体"/>
          <w:color w:val="auto"/>
          <w:sz w:val="24"/>
          <w:szCs w:val="24"/>
          <w:lang w:eastAsia="zh-CN"/>
        </w:rPr>
        <w:t>开</w:t>
      </w:r>
      <w:r>
        <w:rPr>
          <w:rFonts w:hint="eastAsia" w:ascii="宋体" w:hAnsi="宋体" w:eastAsia="宋体"/>
          <w:color w:val="auto"/>
          <w:sz w:val="24"/>
          <w:szCs w:val="24"/>
        </w:rPr>
        <w:t>具税收完税证明：</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1</w:t>
      </w:r>
      <w:r>
        <w:rPr>
          <w:rFonts w:hint="eastAsia" w:ascii="Times New Roman" w:hAnsi="Times New Roman" w:eastAsia="宋体"/>
          <w:color w:val="auto"/>
          <w:sz w:val="24"/>
          <w:szCs w:val="24"/>
          <w:lang w:eastAsia="zh-CN"/>
        </w:rPr>
        <w:t>.</w:t>
      </w:r>
      <w:r>
        <w:rPr>
          <w:rFonts w:hint="eastAsia" w:ascii="宋体" w:hAnsi="宋体" w:eastAsia="宋体"/>
          <w:color w:val="auto"/>
          <w:sz w:val="24"/>
          <w:szCs w:val="24"/>
        </w:rPr>
        <w:t>通过横向联网电子缴税系统划缴税款到国库（经收处）后或收到从国库退还的税款后，当场或事后需要取得税收票证的。</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2</w:t>
      </w:r>
      <w:r>
        <w:rPr>
          <w:rFonts w:hint="eastAsia" w:ascii="Times New Roman" w:hAnsi="Times New Roman" w:eastAsia="宋体"/>
          <w:color w:val="auto"/>
          <w:sz w:val="24"/>
          <w:szCs w:val="24"/>
          <w:lang w:eastAsia="zh-CN"/>
        </w:rPr>
        <w:t>.</w:t>
      </w:r>
      <w:r>
        <w:rPr>
          <w:rFonts w:hint="eastAsia" w:ascii="宋体" w:hAnsi="宋体" w:eastAsia="宋体"/>
          <w:color w:val="auto"/>
          <w:sz w:val="24"/>
          <w:szCs w:val="24"/>
        </w:rPr>
        <w:t>扣缴义务人代扣、代收税款后，已经向纳税人开具税法规定或国家税务总局认可的记载完税情况的其他凭证，纳税人需要换开正式完税凭证的。</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3</w:t>
      </w:r>
      <w:r>
        <w:rPr>
          <w:rFonts w:hint="eastAsia" w:ascii="Times New Roman" w:hAnsi="Times New Roman" w:eastAsia="宋体"/>
          <w:color w:val="auto"/>
          <w:sz w:val="24"/>
          <w:szCs w:val="24"/>
          <w:lang w:eastAsia="zh-CN"/>
        </w:rPr>
        <w:t>.</w:t>
      </w:r>
      <w:r>
        <w:rPr>
          <w:rFonts w:hint="eastAsia" w:ascii="宋体" w:hAnsi="宋体" w:eastAsia="宋体"/>
          <w:color w:val="auto"/>
          <w:sz w:val="24"/>
          <w:szCs w:val="24"/>
        </w:rPr>
        <w:t>纳税人遗失已完税的各种税收票证（《出口货物完税分割单》、印花税票和《印花税票销售凭证》除外），需要重新开具的。</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4</w:t>
      </w:r>
      <w:r>
        <w:rPr>
          <w:rFonts w:hint="eastAsia" w:ascii="Times New Roman" w:hAnsi="Times New Roman" w:eastAsia="宋体"/>
          <w:color w:val="auto"/>
          <w:sz w:val="24"/>
          <w:szCs w:val="24"/>
          <w:lang w:eastAsia="zh-CN"/>
        </w:rPr>
        <w:t>.</w:t>
      </w:r>
      <w:r>
        <w:rPr>
          <w:rFonts w:hint="eastAsia" w:ascii="宋体" w:hAnsi="宋体" w:eastAsia="宋体"/>
          <w:color w:val="auto"/>
          <w:sz w:val="24"/>
          <w:szCs w:val="24"/>
        </w:rPr>
        <w:t>对纳税人特定期间完税情况出具证明的。</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5</w:t>
      </w:r>
      <w:r>
        <w:rPr>
          <w:rFonts w:hint="eastAsia" w:ascii="Times New Roman" w:hAnsi="Times New Roman" w:eastAsia="宋体"/>
          <w:color w:val="auto"/>
          <w:sz w:val="24"/>
          <w:szCs w:val="24"/>
          <w:lang w:eastAsia="zh-CN"/>
        </w:rPr>
        <w:t>.</w:t>
      </w:r>
      <w:r>
        <w:rPr>
          <w:rFonts w:hint="eastAsia" w:ascii="宋体" w:hAnsi="宋体" w:eastAsia="宋体"/>
          <w:color w:val="auto"/>
          <w:sz w:val="24"/>
          <w:szCs w:val="24"/>
        </w:rPr>
        <w:t>国家税务总局规定的其他需要为纳税人开具完税凭证情形。</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auto"/>
          <w:sz w:val="24"/>
          <w:szCs w:val="24"/>
        </w:rPr>
      </w:pPr>
      <w:r>
        <w:rPr>
          <w:rFonts w:hint="eastAsia" w:ascii="黑体" w:hAnsi="黑体" w:eastAsia="黑体" w:cs="Times New Roman"/>
          <w:bCs/>
          <w:color w:val="auto"/>
          <w:sz w:val="24"/>
          <w:szCs w:val="24"/>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1</w:t>
      </w:r>
      <w:r>
        <w:rPr>
          <w:rFonts w:hint="eastAsia" w:ascii="Times New Roman" w:hAnsi="Times New Roman" w:eastAsia="宋体"/>
          <w:color w:val="auto"/>
          <w:sz w:val="24"/>
          <w:szCs w:val="24"/>
          <w:lang w:eastAsia="zh-CN"/>
        </w:rPr>
        <w:t>.</w:t>
      </w:r>
      <w:r>
        <w:rPr>
          <w:rFonts w:hint="eastAsia" w:ascii="宋体" w:hAnsi="宋体" w:eastAsia="宋体"/>
          <w:color w:val="auto"/>
          <w:sz w:val="24"/>
          <w:szCs w:val="24"/>
        </w:rPr>
        <w:t>《中华人民共和国税收征收管理法》第三十四条</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2</w:t>
      </w:r>
      <w:r>
        <w:rPr>
          <w:rFonts w:hint="eastAsia" w:ascii="Times New Roman" w:hAnsi="Times New Roman" w:eastAsia="宋体"/>
          <w:color w:val="auto"/>
          <w:sz w:val="24"/>
          <w:szCs w:val="24"/>
          <w:lang w:eastAsia="zh-CN"/>
        </w:rPr>
        <w:t>.</w:t>
      </w:r>
      <w:r>
        <w:rPr>
          <w:rFonts w:hint="eastAsia" w:ascii="宋体" w:hAnsi="宋体" w:eastAsia="宋体"/>
          <w:color w:val="auto"/>
          <w:sz w:val="24"/>
          <w:szCs w:val="24"/>
        </w:rPr>
        <w:t>《中华人民共和国税收征收管理法实施细则》第四十六条</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3</w:t>
      </w:r>
      <w:r>
        <w:rPr>
          <w:rFonts w:hint="eastAsia" w:ascii="Times New Roman" w:hAnsi="Times New Roman" w:eastAsia="宋体"/>
          <w:color w:val="auto"/>
          <w:sz w:val="24"/>
          <w:szCs w:val="24"/>
          <w:lang w:eastAsia="zh-CN"/>
        </w:rPr>
        <w:t>.</w:t>
      </w:r>
      <w:r>
        <w:rPr>
          <w:rFonts w:hint="eastAsia" w:ascii="宋体" w:hAnsi="宋体" w:eastAsia="宋体"/>
          <w:color w:val="auto"/>
          <w:sz w:val="24"/>
          <w:szCs w:val="24"/>
          <w:lang w:val="en-US" w:eastAsia="zh-CN"/>
        </w:rPr>
        <w:t>《税收票证管理办法》（国家税务总局令第28号公布，国家税务总局令第48号修改）</w:t>
      </w:r>
      <w:r>
        <w:rPr>
          <w:rFonts w:hint="eastAsia" w:ascii="宋体" w:hAnsi="宋体" w:eastAsia="宋体"/>
          <w:color w:val="auto"/>
          <w:sz w:val="24"/>
          <w:szCs w:val="24"/>
        </w:rPr>
        <w:t>第十七条</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auto"/>
          <w:sz w:val="24"/>
          <w:szCs w:val="24"/>
        </w:rPr>
      </w:pPr>
      <w:r>
        <w:rPr>
          <w:rFonts w:hint="eastAsia" w:ascii="黑体" w:hAnsi="黑体" w:eastAsia="黑体" w:cs="Times New Roman"/>
          <w:bCs/>
          <w:color w:val="auto"/>
          <w:sz w:val="24"/>
          <w:szCs w:val="24"/>
        </w:rPr>
        <w:t>【办理材料】</w:t>
      </w:r>
    </w:p>
    <w:tbl>
      <w:tblPr>
        <w:tblStyle w:val="12"/>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3273"/>
        <w:gridCol w:w="709"/>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473"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Times New Roman"/>
                <w:color w:val="auto"/>
                <w:sz w:val="21"/>
                <w:szCs w:val="21"/>
              </w:rPr>
            </w:pPr>
            <w:r>
              <w:rPr>
                <w:rFonts w:hint="eastAsia" w:ascii="黑体" w:hAnsi="黑体" w:eastAsia="黑体" w:cs="Times New Roman"/>
                <w:color w:val="auto"/>
                <w:sz w:val="21"/>
                <w:szCs w:val="21"/>
              </w:rPr>
              <w:t>适用情形</w:t>
            </w:r>
          </w:p>
        </w:tc>
        <w:tc>
          <w:tcPr>
            <w:tcW w:w="3273"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Times New Roman"/>
                <w:color w:val="auto"/>
                <w:sz w:val="21"/>
                <w:szCs w:val="21"/>
              </w:rPr>
            </w:pPr>
            <w:r>
              <w:rPr>
                <w:rFonts w:hint="eastAsia" w:ascii="黑体" w:hAnsi="黑体" w:eastAsia="黑体" w:cs="Times New Roman"/>
                <w:color w:val="auto"/>
                <w:sz w:val="21"/>
                <w:szCs w:val="21"/>
              </w:rPr>
              <w:t>材料名称</w:t>
            </w:r>
          </w:p>
        </w:tc>
        <w:tc>
          <w:tcPr>
            <w:tcW w:w="70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Times New Roman"/>
                <w:color w:val="auto"/>
                <w:sz w:val="21"/>
                <w:szCs w:val="21"/>
              </w:rPr>
            </w:pPr>
            <w:r>
              <w:rPr>
                <w:rFonts w:hint="eastAsia" w:ascii="黑体" w:hAnsi="黑体" w:eastAsia="黑体" w:cs="Times New Roman"/>
                <w:color w:val="auto"/>
                <w:sz w:val="21"/>
                <w:szCs w:val="21"/>
              </w:rPr>
              <w:t>数量</w:t>
            </w:r>
          </w:p>
        </w:tc>
        <w:tc>
          <w:tcPr>
            <w:tcW w:w="170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Times New Roman"/>
                <w:color w:val="auto"/>
                <w:sz w:val="21"/>
                <w:szCs w:val="21"/>
              </w:rPr>
            </w:pPr>
            <w:r>
              <w:rPr>
                <w:rFonts w:hint="eastAsia" w:ascii="黑体" w:hAnsi="黑体" w:eastAsia="黑体"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73" w:type="dxa"/>
            <w:tcBorders>
              <w:left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Times New Roman"/>
                <w:color w:val="auto"/>
                <w:sz w:val="18"/>
                <w:szCs w:val="18"/>
              </w:rPr>
            </w:pPr>
            <w:r>
              <w:rPr>
                <w:rFonts w:hint="eastAsia" w:ascii="黑体" w:hAnsi="黑体" w:eastAsia="黑体" w:cs="Microsoft Himalaya"/>
                <w:color w:val="auto"/>
                <w:sz w:val="18"/>
                <w:szCs w:val="18"/>
              </w:rPr>
              <w:t>已办理税务登记的纳税人</w:t>
            </w:r>
          </w:p>
        </w:tc>
        <w:tc>
          <w:tcPr>
            <w:tcW w:w="3273" w:type="dxa"/>
            <w:tcBorders>
              <w:left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r>
              <w:rPr>
                <w:rFonts w:hint="eastAsia" w:ascii="黑体" w:hAnsi="黑体" w:eastAsia="黑体" w:cs="Microsoft Himalaya"/>
                <w:color w:val="auto"/>
                <w:sz w:val="18"/>
                <w:szCs w:val="18"/>
              </w:rPr>
              <w:t>加载统一社会信用代码的营业执照（或税务登记证、组织机构代码证等）原件</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黑体" w:hAnsi="黑体" w:eastAsia="黑体" w:cs="Microsoft Himalaya"/>
                <w:color w:val="auto"/>
                <w:sz w:val="18"/>
                <w:szCs w:val="18"/>
                <w:lang w:val="en-US" w:eastAsia="zh-CN"/>
              </w:rPr>
            </w:pPr>
            <w:r>
              <w:rPr>
                <w:rFonts w:hint="eastAsia" w:ascii="黑体" w:hAnsi="黑体" w:eastAsia="黑体" w:cs="Microsoft Himalaya"/>
                <w:color w:val="auto"/>
                <w:sz w:val="18"/>
                <w:szCs w:val="18"/>
                <w:lang w:val="en-US" w:eastAsia="zh-CN"/>
              </w:rPr>
              <w:t>1份</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r>
              <w:rPr>
                <w:rFonts w:hint="eastAsia" w:ascii="黑体" w:hAnsi="黑体" w:eastAsia="黑体" w:cs="Microsoft Himalaya"/>
                <w:color w:val="auto"/>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73" w:type="dxa"/>
            <w:tcBorders>
              <w:left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r>
              <w:rPr>
                <w:rFonts w:hint="eastAsia" w:ascii="黑体" w:hAnsi="黑体" w:eastAsia="黑体" w:cs="Microsoft Himalaya"/>
                <w:color w:val="auto"/>
                <w:sz w:val="18"/>
                <w:szCs w:val="18"/>
              </w:rPr>
              <w:t>自然人</w:t>
            </w:r>
          </w:p>
        </w:tc>
        <w:tc>
          <w:tcPr>
            <w:tcW w:w="3273" w:type="dxa"/>
            <w:tcBorders>
              <w:left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r>
              <w:rPr>
                <w:rFonts w:hint="eastAsia" w:ascii="黑体" w:hAnsi="黑体" w:eastAsia="黑体" w:cs="Microsoft Himalaya"/>
                <w:color w:val="auto"/>
                <w:sz w:val="18"/>
                <w:szCs w:val="18"/>
              </w:rPr>
              <w:t>身份证件原件</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黑体" w:hAnsi="黑体" w:eastAsia="黑体" w:cs="Microsoft Himalaya"/>
                <w:color w:val="auto"/>
                <w:sz w:val="18"/>
                <w:szCs w:val="18"/>
                <w:lang w:val="en-US" w:eastAsia="zh-CN"/>
              </w:rPr>
            </w:pPr>
            <w:r>
              <w:rPr>
                <w:rFonts w:hint="eastAsia" w:ascii="黑体" w:hAnsi="黑体" w:eastAsia="黑体" w:cs="Microsoft Himalaya"/>
                <w:color w:val="auto"/>
                <w:sz w:val="18"/>
                <w:szCs w:val="18"/>
                <w:lang w:val="en-US" w:eastAsia="zh-CN"/>
              </w:rPr>
              <w:t>1份</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r>
              <w:rPr>
                <w:rFonts w:hint="eastAsia" w:ascii="黑体" w:hAnsi="黑体" w:eastAsia="黑体" w:cs="Microsoft Himalaya"/>
                <w:color w:val="auto"/>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473" w:type="dxa"/>
            <w:tcBorders>
              <w:left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r>
              <w:rPr>
                <w:rFonts w:hint="eastAsia" w:ascii="黑体" w:hAnsi="黑体" w:eastAsia="黑体" w:cs="Microsoft Himalaya"/>
                <w:color w:val="auto"/>
                <w:sz w:val="18"/>
                <w:szCs w:val="18"/>
              </w:rPr>
              <w:t>证券交易场所和证券登记结算机构扣缴证券交易印花税后，需要换开税收完税证明</w:t>
            </w:r>
          </w:p>
        </w:tc>
        <w:tc>
          <w:tcPr>
            <w:tcW w:w="3273" w:type="dxa"/>
            <w:tcBorders>
              <w:left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黑体" w:hAnsi="黑体" w:eastAsia="黑体" w:cs="Microsoft Himalaya"/>
                <w:color w:val="auto"/>
                <w:sz w:val="18"/>
                <w:szCs w:val="18"/>
                <w:lang w:eastAsia="zh-CN"/>
              </w:rPr>
            </w:pPr>
            <w:r>
              <w:rPr>
                <w:rFonts w:hint="eastAsia" w:ascii="黑体" w:hAnsi="黑体" w:eastAsia="黑体" w:cs="Microsoft Himalaya"/>
                <w:color w:val="auto"/>
                <w:sz w:val="18"/>
                <w:szCs w:val="18"/>
              </w:rPr>
              <w:t>加盖开具单位的相关业务章戳的“成交过户交割凭单”或“过户登记确认书”</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r>
              <w:rPr>
                <w:rFonts w:hint="eastAsia" w:ascii="黑体" w:hAnsi="黑体" w:eastAsia="黑体" w:cs="Microsoft Himalaya"/>
                <w:color w:val="auto"/>
                <w:sz w:val="18"/>
                <w:szCs w:val="18"/>
              </w:rPr>
              <w:t>1份</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473" w:type="dxa"/>
            <w:tcBorders>
              <w:left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r>
              <w:rPr>
                <w:rFonts w:hint="eastAsia" w:ascii="黑体" w:hAnsi="黑体" w:eastAsia="黑体" w:cs="Microsoft Himalaya"/>
                <w:color w:val="auto"/>
                <w:sz w:val="18"/>
                <w:szCs w:val="18"/>
              </w:rPr>
              <w:t>通过保险机构缴纳车船税后，需要换开税收完税证明</w:t>
            </w:r>
          </w:p>
        </w:tc>
        <w:tc>
          <w:tcPr>
            <w:tcW w:w="3273" w:type="dxa"/>
            <w:tcBorders>
              <w:left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r>
              <w:rPr>
                <w:rFonts w:hint="eastAsia" w:ascii="黑体" w:hAnsi="黑体" w:eastAsia="黑体" w:cs="Microsoft Himalaya"/>
                <w:color w:val="auto"/>
                <w:sz w:val="18"/>
                <w:szCs w:val="18"/>
              </w:rPr>
              <w:t>记载车船税完税情况的“交强险”保险单复印件</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r>
              <w:rPr>
                <w:rFonts w:hint="eastAsia" w:ascii="黑体" w:hAnsi="黑体" w:eastAsia="黑体" w:cs="Microsoft Himalaya"/>
                <w:color w:val="auto"/>
                <w:sz w:val="18"/>
                <w:szCs w:val="18"/>
              </w:rPr>
              <w:t>1份</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473" w:type="dxa"/>
            <w:tcBorders>
              <w:left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r>
              <w:rPr>
                <w:rFonts w:hint="eastAsia" w:ascii="黑体" w:hAnsi="黑体" w:eastAsia="黑体" w:cs="Microsoft Himalaya"/>
                <w:color w:val="auto"/>
                <w:sz w:val="18"/>
                <w:szCs w:val="18"/>
              </w:rPr>
              <w:t>储蓄机构扣缴储蓄存款利息所得税后，需要换开税收完税证明</w:t>
            </w:r>
          </w:p>
        </w:tc>
        <w:tc>
          <w:tcPr>
            <w:tcW w:w="3273" w:type="dxa"/>
            <w:tcBorders>
              <w:left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黑体" w:hAnsi="黑体" w:eastAsia="黑体" w:cs="Microsoft Himalaya"/>
                <w:color w:val="auto"/>
                <w:sz w:val="18"/>
                <w:szCs w:val="18"/>
                <w:lang w:eastAsia="zh-CN"/>
              </w:rPr>
            </w:pPr>
            <w:r>
              <w:rPr>
                <w:rFonts w:hint="eastAsia" w:ascii="黑体" w:hAnsi="黑体" w:eastAsia="黑体" w:cs="Microsoft Himalaya"/>
                <w:color w:val="auto"/>
                <w:sz w:val="18"/>
                <w:szCs w:val="18"/>
              </w:rPr>
              <w:t>记载储蓄存款利息所得税完税情况的利息清单</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r>
              <w:rPr>
                <w:rFonts w:hint="eastAsia" w:ascii="黑体" w:hAnsi="黑体" w:eastAsia="黑体" w:cs="Microsoft Himalaya"/>
                <w:color w:val="auto"/>
                <w:sz w:val="18"/>
                <w:szCs w:val="18"/>
              </w:rPr>
              <w:t>1份</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auto"/>
          <w:sz w:val="24"/>
          <w:szCs w:val="24"/>
        </w:rPr>
      </w:pPr>
      <w:r>
        <w:rPr>
          <w:rFonts w:hint="eastAsia" w:ascii="黑体" w:hAnsi="黑体" w:eastAsia="黑体" w:cs="Times New Roman"/>
          <w:bCs/>
          <w:color w:val="auto"/>
          <w:sz w:val="24"/>
          <w:szCs w:val="24"/>
        </w:rPr>
        <w:t>【办理地点】</w:t>
      </w:r>
    </w:p>
    <w:p>
      <w:pPr>
        <w:wordWrap w:val="0"/>
        <w:spacing w:line="360" w:lineRule="auto"/>
        <w:ind w:firstLine="480" w:firstLineChars="200"/>
        <w:rPr>
          <w:rFonts w:hint="eastAsia" w:ascii="宋体" w:hAnsi="宋体" w:eastAsia="宋体" w:cs="Times New Roman"/>
          <w:sz w:val="24"/>
        </w:rPr>
      </w:pPr>
      <w:r>
        <w:rPr>
          <w:rFonts w:hint="eastAsia" w:ascii="宋体" w:hAnsi="宋体" w:eastAsia="宋体"/>
          <w:color w:val="auto"/>
          <w:sz w:val="24"/>
          <w:szCs w:val="24"/>
        </w:rPr>
        <w:t>1</w:t>
      </w:r>
      <w:r>
        <w:rPr>
          <w:rFonts w:hint="eastAsia" w:ascii="Times New Roman" w:hAnsi="Times New Roman" w:eastAsia="宋体"/>
          <w:color w:val="auto"/>
          <w:sz w:val="24"/>
          <w:szCs w:val="24"/>
          <w:lang w:eastAsia="zh-CN"/>
        </w:rPr>
        <w:t>.</w:t>
      </w:r>
      <w:r>
        <w:rPr>
          <w:rFonts w:hint="eastAsia" w:ascii="宋体" w:hAnsi="宋体" w:eastAsia="宋体"/>
          <w:color w:val="auto"/>
          <w:sz w:val="24"/>
          <w:szCs w:val="24"/>
        </w:rPr>
        <w:t>可通过办税服务厅（场所）、电子税务局、自助办税终端办理，</w:t>
      </w:r>
      <w:r>
        <w:rPr>
          <w:rFonts w:hint="eastAsia" w:ascii="宋体" w:hAnsi="宋体" w:eastAsia="宋体" w:cs="Times New Roman"/>
          <w:sz w:val="24"/>
        </w:rPr>
        <w:t>办理地点</w:t>
      </w:r>
      <w:r>
        <w:rPr>
          <w:rFonts w:hint="eastAsia" w:ascii="宋体" w:hAnsi="宋体" w:eastAsia="宋体" w:cs="Times New Roman"/>
          <w:sz w:val="24"/>
          <w:lang w:eastAsia="zh-CN"/>
        </w:rPr>
        <w:t>和网址</w:t>
      </w:r>
      <w:r>
        <w:rPr>
          <w:rFonts w:hint="eastAsia" w:ascii="宋体" w:hAnsi="宋体" w:eastAsia="宋体" w:cs="Times New Roman"/>
          <w:sz w:val="24"/>
        </w:rPr>
        <w:t>也可以通过吉林省税务局门户网站（</w:t>
      </w:r>
      <w:bookmarkStart w:id="18" w:name="_GoBack"/>
      <w:bookmarkEnd w:id="18"/>
      <w:r>
        <w:rPr>
          <w:rFonts w:hint="eastAsia" w:ascii="宋体" w:hAnsi="宋体" w:eastAsia="宋体" w:cs="Times New Roman"/>
          <w:sz w:val="24"/>
          <w:lang w:eastAsia="zh-CN"/>
        </w:rPr>
        <w:t>http://jilin.chinatax.gov.cn/</w:t>
      </w:r>
      <w:r>
        <w:rPr>
          <w:rFonts w:hint="eastAsia" w:ascii="宋体" w:hAnsi="宋体" w:eastAsia="宋体" w:cs="Times New Roman"/>
          <w:sz w:val="24"/>
        </w:rPr>
        <w:t>）“纳税服务”栏目查询。</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2</w:t>
      </w:r>
      <w:r>
        <w:rPr>
          <w:rFonts w:hint="eastAsia" w:ascii="Times New Roman" w:hAnsi="Times New Roman" w:eastAsia="宋体"/>
          <w:color w:val="auto"/>
          <w:sz w:val="24"/>
          <w:szCs w:val="24"/>
          <w:lang w:eastAsia="zh-CN"/>
        </w:rPr>
        <w:t>.</w:t>
      </w:r>
      <w:r>
        <w:rPr>
          <w:rFonts w:hint="eastAsia" w:ascii="宋体" w:hAnsi="宋体" w:eastAsia="宋体"/>
          <w:color w:val="auto"/>
          <w:sz w:val="24"/>
          <w:szCs w:val="24"/>
        </w:rPr>
        <w:t>此事项可在全国、同城通办。</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auto"/>
          <w:sz w:val="24"/>
          <w:szCs w:val="24"/>
        </w:rPr>
      </w:pPr>
      <w:r>
        <w:rPr>
          <w:rFonts w:hint="eastAsia" w:ascii="黑体" w:hAnsi="黑体" w:eastAsia="黑体" w:cs="Times New Roman"/>
          <w:bCs/>
          <w:color w:val="auto"/>
          <w:sz w:val="24"/>
          <w:szCs w:val="24"/>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主管税务机关</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auto"/>
          <w:sz w:val="24"/>
          <w:szCs w:val="24"/>
        </w:rPr>
      </w:pPr>
      <w:r>
        <w:rPr>
          <w:rFonts w:hint="eastAsia" w:ascii="黑体" w:hAnsi="黑体" w:eastAsia="黑体" w:cs="Times New Roman"/>
          <w:bCs/>
          <w:color w:val="auto"/>
          <w:sz w:val="24"/>
          <w:szCs w:val="24"/>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不收费</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auto"/>
          <w:sz w:val="24"/>
          <w:szCs w:val="24"/>
        </w:rPr>
      </w:pPr>
      <w:r>
        <w:rPr>
          <w:rFonts w:hint="eastAsia" w:ascii="黑体" w:hAnsi="黑体" w:eastAsia="黑体" w:cs="Times New Roman"/>
          <w:bCs/>
          <w:color w:val="auto"/>
          <w:sz w:val="24"/>
          <w:szCs w:val="24"/>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即时办结</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auto"/>
          <w:sz w:val="24"/>
          <w:szCs w:val="24"/>
        </w:rPr>
      </w:pPr>
      <w:r>
        <w:rPr>
          <w:rFonts w:hint="eastAsia" w:ascii="黑体" w:hAnsi="黑体" w:eastAsia="黑体" w:cs="Times New Roman"/>
          <w:bCs/>
          <w:color w:val="auto"/>
          <w:sz w:val="24"/>
          <w:szCs w:val="24"/>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办税服务厅对外公开联系电话，可在吉林省税务局门户网站（http://jilin.chinatax.gov.cn/）“纳税服务”栏目查询或拨打12366纳税服务热线查询。</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auto"/>
          <w:sz w:val="24"/>
          <w:szCs w:val="24"/>
        </w:rPr>
      </w:pPr>
      <w:r>
        <w:rPr>
          <w:rFonts w:hint="eastAsia" w:ascii="黑体" w:hAnsi="黑体" w:eastAsia="黑体" w:cs="Times New Roman"/>
          <w:bCs/>
          <w:color w:val="auto"/>
          <w:sz w:val="24"/>
          <w:szCs w:val="24"/>
        </w:rPr>
        <w:t>【办理流程】</w:t>
      </w:r>
    </w:p>
    <w:p>
      <w:pPr>
        <w:pStyle w:val="40"/>
        <w:keepNext w:val="0"/>
        <w:keepLines w:val="0"/>
        <w:pageBreakBefore w:val="0"/>
        <w:widowControl w:val="0"/>
        <w:kinsoku/>
        <w:wordWrap w:val="0"/>
        <w:overflowPunct/>
        <w:topLinePunct w:val="0"/>
        <w:autoSpaceDE/>
        <w:autoSpaceDN/>
        <w:bidi w:val="0"/>
        <w:adjustRightInd/>
        <w:snapToGrid/>
        <w:spacing w:line="276" w:lineRule="auto"/>
        <w:ind w:firstLine="0" w:firstLineChars="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drawing>
          <wp:inline distT="0" distB="0" distL="114300" distR="114300">
            <wp:extent cx="5268595" cy="1781175"/>
            <wp:effectExtent l="0" t="0" r="4445" b="0"/>
            <wp:docPr id="2" name="图片 2"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纳税人流程图(即办）"/>
                    <pic:cNvPicPr>
                      <a:picLocks noChangeAspect="1"/>
                    </pic:cNvPicPr>
                  </pic:nvPicPr>
                  <pic:blipFill>
                    <a:blip r:embed="rId7"/>
                    <a:stretch>
                      <a:fillRect/>
                    </a:stretch>
                  </pic:blipFill>
                  <pic:spPr>
                    <a:xfrm>
                      <a:off x="0" y="0"/>
                      <a:ext cx="5268595" cy="1781175"/>
                    </a:xfrm>
                    <a:prstGeom prst="rect">
                      <a:avLst/>
                    </a:prstGeom>
                  </pic:spPr>
                </pic:pic>
              </a:graphicData>
            </a:graphic>
          </wp:inline>
        </w:drawing>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auto"/>
          <w:sz w:val="24"/>
          <w:szCs w:val="24"/>
        </w:rPr>
      </w:pPr>
      <w:r>
        <w:rPr>
          <w:rFonts w:hint="eastAsia" w:ascii="黑体" w:hAnsi="黑体" w:eastAsia="黑体" w:cs="Times New Roman"/>
          <w:bCs/>
          <w:color w:val="auto"/>
          <w:sz w:val="24"/>
          <w:szCs w:val="24"/>
        </w:rPr>
        <w:t>【纳税人注意事项】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1</w:t>
      </w:r>
      <w:r>
        <w:rPr>
          <w:rFonts w:hint="eastAsia" w:ascii="Times New Roman" w:hAnsi="Times New Roman" w:eastAsia="宋体"/>
          <w:color w:val="auto"/>
          <w:sz w:val="24"/>
          <w:szCs w:val="24"/>
          <w:lang w:eastAsia="zh-CN"/>
        </w:rPr>
        <w:t>.</w:t>
      </w:r>
      <w:r>
        <w:rPr>
          <w:rFonts w:hint="eastAsia" w:ascii="宋体" w:hAnsi="宋体" w:eastAsia="宋体"/>
          <w:color w:val="auto"/>
          <w:sz w:val="24"/>
          <w:szCs w:val="24"/>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2</w:t>
      </w:r>
      <w:r>
        <w:rPr>
          <w:rFonts w:hint="eastAsia" w:ascii="Times New Roman" w:hAnsi="Times New Roman" w:eastAsia="宋体"/>
          <w:color w:val="auto"/>
          <w:sz w:val="24"/>
          <w:szCs w:val="24"/>
          <w:lang w:eastAsia="zh-CN"/>
        </w:rPr>
        <w:t>.</w:t>
      </w:r>
      <w:r>
        <w:rPr>
          <w:rFonts w:hint="eastAsia" w:ascii="宋体" w:hAnsi="宋体" w:eastAsia="宋体"/>
          <w:color w:val="auto"/>
          <w:sz w:val="24"/>
          <w:szCs w:val="24"/>
        </w:rPr>
        <w:t>税务机关提供“最多跑一次”服务。纳税人在资料完整且符合法定受理条件的前提下，最多只需要到税务机关跑一次。</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3</w:t>
      </w:r>
      <w:r>
        <w:rPr>
          <w:rFonts w:hint="eastAsia" w:ascii="宋体" w:hAnsi="宋体" w:eastAsia="宋体"/>
          <w:color w:val="auto"/>
          <w:sz w:val="24"/>
          <w:szCs w:val="24"/>
        </w:rPr>
        <w:t>.</w:t>
      </w:r>
      <w:r>
        <w:rPr>
          <w:rFonts w:hint="eastAsia" w:ascii="宋体" w:hAnsi="宋体" w:eastAsia="宋体"/>
          <w:color w:val="auto"/>
          <w:sz w:val="24"/>
          <w:szCs w:val="24"/>
          <w:lang w:eastAsia="zh-CN"/>
        </w:rPr>
        <w:t>纳税人使用符合电子签名法规定条件的电子签名，与手写签名或者盖章具有同等法律效力。</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lang w:val="en-US" w:eastAsia="zh-CN"/>
        </w:rPr>
        <w:t>4</w:t>
      </w:r>
      <w:r>
        <w:rPr>
          <w:rFonts w:hint="eastAsia" w:ascii="宋体" w:hAnsi="宋体" w:eastAsia="宋体"/>
          <w:color w:val="auto"/>
          <w:sz w:val="24"/>
          <w:szCs w:val="24"/>
        </w:rPr>
        <w:t>.纳税人提供的各项资料为复印件的，均须注明“与原件一致”并签章。</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lang w:val="en-US" w:eastAsia="zh-CN"/>
        </w:rPr>
        <w:t>5</w:t>
      </w:r>
      <w:r>
        <w:rPr>
          <w:rFonts w:hint="eastAsia" w:ascii="宋体" w:hAnsi="宋体" w:eastAsia="宋体"/>
          <w:color w:val="auto"/>
          <w:sz w:val="24"/>
          <w:szCs w:val="24"/>
        </w:rPr>
        <w:t>.税收完税证明分为表格式和文书式两种。按照【申请条件】中第1项、第2项、第3项以及</w:t>
      </w:r>
      <w:r>
        <w:rPr>
          <w:rFonts w:hint="eastAsia" w:ascii="宋体" w:hAnsi="宋体" w:eastAsia="宋体"/>
          <w:color w:val="auto"/>
          <w:sz w:val="24"/>
          <w:szCs w:val="24"/>
          <w:lang w:eastAsia="zh-CN"/>
        </w:rPr>
        <w:t>第</w:t>
      </w:r>
      <w:r>
        <w:rPr>
          <w:rFonts w:hint="eastAsia" w:ascii="宋体" w:hAnsi="宋体" w:eastAsia="宋体"/>
          <w:color w:val="auto"/>
          <w:sz w:val="24"/>
          <w:szCs w:val="24"/>
          <w:lang w:val="en-US" w:eastAsia="zh-CN"/>
        </w:rPr>
        <w:t>5</w:t>
      </w:r>
      <w:r>
        <w:rPr>
          <w:rFonts w:hint="eastAsia" w:ascii="宋体" w:hAnsi="宋体" w:eastAsia="宋体"/>
          <w:color w:val="auto"/>
          <w:sz w:val="24"/>
          <w:szCs w:val="24"/>
          <w:lang w:eastAsia="zh-CN"/>
        </w:rPr>
        <w:t>项</w:t>
      </w:r>
      <w:r>
        <w:rPr>
          <w:rFonts w:hint="eastAsia" w:ascii="宋体" w:hAnsi="宋体" w:eastAsia="宋体"/>
          <w:color w:val="auto"/>
          <w:sz w:val="24"/>
          <w:szCs w:val="24"/>
        </w:rPr>
        <w:t>开具的税收完税证明为表格式；按照第4项规定开具的税收完税证明为文书式，文书式税收完税证明不得作为纳税人的记账或抵扣凭证。</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6.</w:t>
      </w:r>
      <w:r>
        <w:rPr>
          <w:rFonts w:hint="eastAsia" w:ascii="宋体" w:hAnsi="宋体" w:eastAsia="宋体"/>
          <w:color w:val="auto"/>
          <w:sz w:val="24"/>
          <w:szCs w:val="24"/>
        </w:rPr>
        <w:t>【申请条件】中第2项所称扣缴义务人已经向纳税人开具的税法规定</w:t>
      </w:r>
      <w:r>
        <w:rPr>
          <w:rFonts w:hint="eastAsia" w:ascii="宋体" w:hAnsi="宋体" w:eastAsia="宋体"/>
          <w:color w:val="auto"/>
          <w:sz w:val="24"/>
          <w:szCs w:val="24"/>
          <w:lang w:eastAsia="zh-CN"/>
        </w:rPr>
        <w:t>和第</w:t>
      </w:r>
      <w:r>
        <w:rPr>
          <w:rFonts w:hint="eastAsia" w:ascii="宋体" w:hAnsi="宋体" w:eastAsia="宋体"/>
          <w:color w:val="auto"/>
          <w:sz w:val="24"/>
          <w:szCs w:val="24"/>
          <w:lang w:val="en-US" w:eastAsia="zh-CN"/>
        </w:rPr>
        <w:t>5项</w:t>
      </w:r>
      <w:r>
        <w:rPr>
          <w:rFonts w:hint="eastAsia" w:ascii="宋体" w:hAnsi="宋体" w:eastAsia="宋体"/>
          <w:color w:val="auto"/>
          <w:sz w:val="24"/>
          <w:szCs w:val="24"/>
        </w:rPr>
        <w:t>国家税务总局认可的记载完税情况的其他凭证，是指记载车船税完税情况的交强险保单、记载储蓄存款利息所得税完税情况的利息清单等税法或国家税务总局认可的能够作为已完税情况证明的凭证；第4项所称“对纳税人特定期间完税情况出具证明”，是指税务机关为纳税人连续期间的纳税情况汇总开具完税证明的情形。</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7</w:t>
      </w:r>
      <w:r>
        <w:rPr>
          <w:rFonts w:hint="eastAsia" w:ascii="Times New Roman" w:hAnsi="Times New Roman" w:eastAsia="宋体"/>
          <w:color w:val="auto"/>
          <w:sz w:val="24"/>
          <w:szCs w:val="24"/>
          <w:lang w:eastAsia="zh-CN"/>
        </w:rPr>
        <w:t>.</w:t>
      </w:r>
      <w:r>
        <w:rPr>
          <w:rFonts w:hint="eastAsia" w:ascii="宋体" w:hAnsi="宋体" w:eastAsia="宋体"/>
          <w:color w:val="auto"/>
          <w:sz w:val="24"/>
          <w:szCs w:val="24"/>
        </w:rPr>
        <w:t>个人所得税纳税人就税款所属期为2019年1月1日（含）以后缴（退）税情况申请开具证明的，税务机关为其开具个人所得税《纳税记录》，不再开具税收完税证明（文书式）。</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lang w:val="en-US" w:eastAsia="zh-CN"/>
        </w:rPr>
        <w:t>8</w:t>
      </w:r>
      <w:r>
        <w:rPr>
          <w:rFonts w:hint="eastAsia" w:ascii="Times New Roman" w:hAnsi="Times New Roman" w:eastAsia="宋体"/>
          <w:color w:val="auto"/>
          <w:sz w:val="24"/>
          <w:szCs w:val="24"/>
          <w:lang w:eastAsia="zh-CN"/>
        </w:rPr>
        <w:t>.</w:t>
      </w:r>
      <w:r>
        <w:rPr>
          <w:rFonts w:hint="eastAsia" w:ascii="宋体" w:hAnsi="宋体" w:eastAsia="宋体"/>
          <w:color w:val="auto"/>
          <w:sz w:val="24"/>
          <w:szCs w:val="24"/>
        </w:rPr>
        <w:t>纳税人遗失《出口货物完税分割单》、印花税票和《印花税票销售凭证》，不能重新开具。</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lang w:val="en-US" w:eastAsia="zh-CN"/>
        </w:rPr>
        <w:t>9</w:t>
      </w:r>
      <w:r>
        <w:rPr>
          <w:rFonts w:hint="eastAsia" w:ascii="Times New Roman" w:hAnsi="Times New Roman" w:eastAsia="宋体"/>
          <w:color w:val="auto"/>
          <w:sz w:val="24"/>
          <w:szCs w:val="24"/>
          <w:lang w:eastAsia="zh-CN"/>
        </w:rPr>
        <w:t>.</w:t>
      </w:r>
      <w:r>
        <w:rPr>
          <w:rFonts w:hint="eastAsia" w:ascii="宋体" w:hAnsi="宋体" w:eastAsia="宋体"/>
          <w:color w:val="auto"/>
          <w:sz w:val="24"/>
          <w:szCs w:val="24"/>
        </w:rPr>
        <w:t>扣缴义务人未按规定为纳税人开具税收票证的，税务机关核实税款缴纳情况后，应当为纳税人开具税收完税证明（表格式）。</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lang w:val="en-US" w:eastAsia="zh-CN"/>
        </w:rPr>
        <w:t>10</w:t>
      </w:r>
      <w:r>
        <w:rPr>
          <w:rFonts w:hint="eastAsia" w:ascii="Times New Roman" w:hAnsi="Times New Roman" w:eastAsia="宋体"/>
          <w:color w:val="auto"/>
          <w:sz w:val="24"/>
          <w:szCs w:val="24"/>
          <w:lang w:eastAsia="zh-CN"/>
        </w:rPr>
        <w:t>.</w:t>
      </w:r>
      <w:r>
        <w:rPr>
          <w:rFonts w:hint="eastAsia" w:ascii="宋体" w:hAnsi="宋体" w:eastAsia="宋体"/>
          <w:color w:val="auto"/>
          <w:sz w:val="24"/>
          <w:szCs w:val="24"/>
        </w:rPr>
        <w:t>纳税人提供加盖开具单位的相关业务章戳并已注明扣收税款信息的“成交过户交割凭单”或“过户登记确认书”，可以向证券交易场所和证券登记结算机构所在地的主管税务机关申请出具</w:t>
      </w:r>
      <w:r>
        <w:rPr>
          <w:rFonts w:hint="eastAsia" w:ascii="宋体" w:hAnsi="宋体" w:eastAsia="宋体"/>
          <w:color w:val="auto"/>
          <w:sz w:val="24"/>
          <w:szCs w:val="24"/>
          <w:lang w:eastAsia="zh-CN"/>
        </w:rPr>
        <w:t>《</w:t>
      </w:r>
      <w:r>
        <w:rPr>
          <w:rFonts w:hint="eastAsia" w:ascii="宋体" w:hAnsi="宋体" w:eastAsia="宋体"/>
          <w:color w:val="auto"/>
          <w:sz w:val="24"/>
          <w:szCs w:val="24"/>
        </w:rPr>
        <w:t>税收完税证明</w:t>
      </w:r>
      <w:r>
        <w:rPr>
          <w:rFonts w:hint="eastAsia" w:ascii="宋体" w:hAnsi="宋体" w:eastAsia="宋体"/>
          <w:color w:val="auto"/>
          <w:sz w:val="24"/>
          <w:szCs w:val="24"/>
          <w:lang w:eastAsia="zh-CN"/>
        </w:rPr>
        <w:t>》</w:t>
      </w:r>
      <w:r>
        <w:rPr>
          <w:rFonts w:hint="eastAsia" w:ascii="宋体" w:hAnsi="宋体" w:eastAsia="宋体"/>
          <w:color w:val="auto"/>
          <w:sz w:val="24"/>
          <w:szCs w:val="24"/>
        </w:rPr>
        <w:t>。</w:t>
      </w:r>
    </w:p>
    <w:p>
      <w:pPr>
        <w:keepNext w:val="0"/>
        <w:keepLines w:val="0"/>
        <w:pageBreakBefore w:val="0"/>
        <w:widowControl w:val="0"/>
        <w:kinsoku/>
        <w:wordWrap w:val="0"/>
        <w:overflowPunct/>
        <w:topLinePunct w:val="0"/>
        <w:autoSpaceDE/>
        <w:autoSpaceDN/>
        <w:bidi w:val="0"/>
        <w:adjustRightInd/>
        <w:snapToGrid/>
        <w:textAlignment w:val="auto"/>
        <w:rPr>
          <w:rFonts w:hint="eastAsia" w:ascii="Times New Roman" w:hAnsi="Times New Roman" w:eastAsia="黑体" w:cs="Times New Roman"/>
          <w:b/>
          <w:bCs/>
          <w:color w:val="auto"/>
          <w:kern w:val="24"/>
          <w:sz w:val="28"/>
          <w:szCs w:val="28"/>
        </w:rPr>
      </w:pPr>
      <w:r>
        <w:rPr>
          <w:rFonts w:hint="eastAsia" w:ascii="Times New Roman" w:hAnsi="Times New Roman" w:eastAsia="黑体" w:cs="Times New Roman"/>
          <w:b/>
          <w:bCs/>
          <w:color w:val="auto"/>
          <w:kern w:val="24"/>
          <w:sz w:val="28"/>
          <w:szCs w:val="28"/>
        </w:rPr>
        <w:br w:type="page"/>
      </w:r>
    </w:p>
    <w:p>
      <w:pPr>
        <w:keepNext w:val="0"/>
        <w:keepLines w:val="0"/>
        <w:pageBreakBefore w:val="0"/>
        <w:widowControl w:val="0"/>
        <w:kinsoku/>
        <w:wordWrap w:val="0"/>
        <w:overflowPunct/>
        <w:topLinePunct w:val="0"/>
        <w:autoSpaceDE/>
        <w:autoSpaceDN/>
        <w:bidi w:val="0"/>
        <w:adjustRightInd/>
        <w:snapToGrid/>
        <w:spacing w:beforeLines="300" w:afterLines="100"/>
        <w:ind w:firstLine="510"/>
        <w:textAlignment w:val="auto"/>
        <w:outlineLvl w:val="2"/>
        <w:rPr>
          <w:rFonts w:ascii="Times New Roman" w:hAnsi="Times New Roman" w:eastAsia="黑体" w:cs="Times New Roman"/>
          <w:b/>
          <w:bCs/>
          <w:color w:val="auto"/>
          <w:kern w:val="24"/>
          <w:sz w:val="28"/>
          <w:szCs w:val="28"/>
        </w:rPr>
      </w:pPr>
      <w:r>
        <w:rPr>
          <w:rFonts w:hint="eastAsia" w:ascii="Times New Roman" w:hAnsi="Times New Roman" w:eastAsia="黑体" w:cs="Times New Roman"/>
          <w:b/>
          <w:bCs/>
          <w:color w:val="auto"/>
          <w:kern w:val="24"/>
          <w:sz w:val="28"/>
          <w:szCs w:val="28"/>
        </w:rPr>
        <w:t>5</w:t>
      </w:r>
      <w:r>
        <w:rPr>
          <w:rFonts w:hint="eastAsia" w:ascii="Times New Roman" w:hAnsi="Times New Roman" w:eastAsia="黑体" w:cs="Times New Roman"/>
          <w:b/>
          <w:bCs/>
          <w:color w:val="auto"/>
          <w:kern w:val="24"/>
          <w:sz w:val="28"/>
          <w:szCs w:val="28"/>
          <w:lang w:eastAsia="zh-CN"/>
        </w:rPr>
        <w:t>.</w:t>
      </w:r>
      <w:r>
        <w:rPr>
          <w:rFonts w:ascii="Times New Roman" w:hAnsi="Times New Roman" w:eastAsia="黑体" w:cs="Times New Roman"/>
          <w:b/>
          <w:bCs/>
          <w:color w:val="auto"/>
          <w:kern w:val="24"/>
          <w:sz w:val="28"/>
          <w:szCs w:val="28"/>
        </w:rPr>
        <w:t>1</w:t>
      </w:r>
      <w:r>
        <w:rPr>
          <w:rFonts w:hint="eastAsia" w:ascii="Times New Roman" w:hAnsi="Times New Roman" w:eastAsia="黑体" w:cs="Times New Roman"/>
          <w:b/>
          <w:bCs/>
          <w:color w:val="auto"/>
          <w:kern w:val="24"/>
          <w:sz w:val="28"/>
          <w:szCs w:val="28"/>
          <w:lang w:eastAsia="zh-CN"/>
        </w:rPr>
        <w:t>.</w:t>
      </w:r>
      <w:r>
        <w:rPr>
          <w:rFonts w:ascii="Times New Roman" w:hAnsi="Times New Roman" w:eastAsia="黑体" w:cs="Times New Roman"/>
          <w:b/>
          <w:bCs/>
          <w:color w:val="auto"/>
          <w:kern w:val="24"/>
          <w:sz w:val="28"/>
          <w:szCs w:val="28"/>
        </w:rPr>
        <w:t>2—</w:t>
      </w:r>
      <w:r>
        <w:rPr>
          <w:rFonts w:hint="eastAsia" w:ascii="Times New Roman" w:hAnsi="Times New Roman" w:eastAsia="黑体" w:cs="Times New Roman"/>
          <w:b/>
          <w:bCs/>
          <w:color w:val="auto"/>
          <w:kern w:val="24"/>
          <w:sz w:val="28"/>
          <w:szCs w:val="28"/>
        </w:rPr>
        <w:t>1</w:t>
      </w:r>
      <w:r>
        <w:rPr>
          <w:rFonts w:hint="eastAsia" w:ascii="Times New Roman" w:hAnsi="Times New Roman" w:eastAsia="黑体" w:cs="Times New Roman"/>
          <w:b/>
          <w:bCs/>
          <w:color w:val="auto"/>
          <w:kern w:val="24"/>
          <w:sz w:val="28"/>
          <w:szCs w:val="28"/>
          <w:lang w:val="en-US" w:eastAsia="zh-CN"/>
        </w:rPr>
        <w:t>30</w:t>
      </w:r>
      <w:r>
        <w:rPr>
          <w:rFonts w:hint="eastAsia" w:ascii="Times New Roman" w:hAnsi="Times New Roman" w:eastAsia="黑体" w:cs="Times New Roman"/>
          <w:b/>
          <w:bCs/>
          <w:color w:val="auto"/>
          <w:kern w:val="24"/>
          <w:sz w:val="28"/>
          <w:szCs w:val="28"/>
        </w:rPr>
        <w:t>　开具个人所得税纳税记录</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auto"/>
          <w:sz w:val="24"/>
          <w:szCs w:val="24"/>
        </w:rPr>
      </w:pPr>
      <w:r>
        <w:rPr>
          <w:rFonts w:hint="eastAsia" w:ascii="黑体" w:hAnsi="黑体" w:eastAsia="黑体" w:cs="Times New Roman"/>
          <w:bCs/>
          <w:color w:val="auto"/>
          <w:sz w:val="24"/>
          <w:szCs w:val="24"/>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开具个人所得税纳税记录</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lang w:eastAsia="zh-CN"/>
        </w:rPr>
      </w:pPr>
      <w:r>
        <w:rPr>
          <w:rFonts w:hint="eastAsia" w:ascii="宋体" w:hAnsi="宋体" w:eastAsia="宋体"/>
          <w:color w:val="auto"/>
          <w:sz w:val="24"/>
          <w:szCs w:val="24"/>
          <w:lang w:eastAsia="zh-CN"/>
        </w:rPr>
        <w:t>【申请条件】</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lang w:eastAsia="zh-CN"/>
        </w:rPr>
      </w:pPr>
      <w:r>
        <w:rPr>
          <w:rFonts w:hint="eastAsia" w:ascii="宋体" w:hAnsi="宋体" w:eastAsia="宋体"/>
          <w:color w:val="auto"/>
          <w:sz w:val="24"/>
          <w:szCs w:val="24"/>
        </w:rPr>
        <w:t>纳税人2019年1月1日以后取得个人所得税应税所得并由扣缴义务人向税务机关办理了全员全额扣缴申报，或根据税法规定自行向税务机关办理纳税申报的，不论是否实际缴纳税款，均可以申请开具个人所得税《纳税记录》。</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auto"/>
          <w:sz w:val="24"/>
          <w:szCs w:val="24"/>
        </w:rPr>
      </w:pPr>
      <w:r>
        <w:rPr>
          <w:rFonts w:hint="eastAsia" w:ascii="黑体" w:hAnsi="黑体" w:eastAsia="黑体" w:cs="Times New Roman"/>
          <w:bCs/>
          <w:color w:val="auto"/>
          <w:sz w:val="24"/>
          <w:szCs w:val="24"/>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lang w:eastAsia="zh-CN"/>
        </w:rPr>
      </w:pPr>
      <w:r>
        <w:rPr>
          <w:rFonts w:hint="eastAsia" w:ascii="宋体" w:hAnsi="宋体" w:eastAsia="宋体"/>
          <w:color w:val="auto"/>
          <w:sz w:val="24"/>
          <w:szCs w:val="24"/>
        </w:rPr>
        <w:t>《国家税务总局关于将个人所得税〈税收完税证明〉（文书式）调整为〈纳税记录〉有关事项的公告》（国家税务总局公告2018年第55号）</w:t>
      </w:r>
      <w:r>
        <w:rPr>
          <w:rFonts w:hint="eastAsia" w:ascii="宋体" w:hAnsi="宋体" w:eastAsia="宋体"/>
          <w:color w:val="auto"/>
          <w:sz w:val="24"/>
          <w:szCs w:val="24"/>
          <w:lang w:eastAsia="zh-CN"/>
        </w:rPr>
        <w:t>第一条</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auto"/>
          <w:sz w:val="24"/>
          <w:szCs w:val="24"/>
        </w:rPr>
      </w:pPr>
      <w:r>
        <w:rPr>
          <w:rFonts w:hint="eastAsia" w:ascii="黑体" w:hAnsi="黑体" w:eastAsia="黑体" w:cs="Times New Roman"/>
          <w:bCs/>
          <w:color w:val="auto"/>
          <w:sz w:val="24"/>
          <w:szCs w:val="24"/>
        </w:rPr>
        <w:t>【办理材料】</w:t>
      </w:r>
    </w:p>
    <w:tbl>
      <w:tblPr>
        <w:tblStyle w:val="12"/>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40"/>
        <w:gridCol w:w="2795"/>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Times New Roman"/>
                <w:color w:val="auto"/>
                <w:sz w:val="21"/>
                <w:szCs w:val="21"/>
              </w:rPr>
            </w:pPr>
            <w:r>
              <w:rPr>
                <w:rFonts w:hint="eastAsia" w:ascii="黑体" w:hAnsi="黑体" w:eastAsia="黑体" w:cs="Times New Roman"/>
                <w:color w:val="auto"/>
                <w:sz w:val="21"/>
                <w:szCs w:val="21"/>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Times New Roman"/>
                <w:color w:val="auto"/>
                <w:sz w:val="21"/>
                <w:szCs w:val="21"/>
              </w:rPr>
            </w:pPr>
            <w:r>
              <w:rPr>
                <w:rFonts w:hint="eastAsia" w:ascii="黑体" w:hAnsi="黑体" w:eastAsia="黑体" w:cs="Times New Roman"/>
                <w:color w:val="auto"/>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Times New Roman"/>
                <w:color w:val="auto"/>
                <w:sz w:val="21"/>
                <w:szCs w:val="21"/>
              </w:rPr>
            </w:pPr>
            <w:r>
              <w:rPr>
                <w:rFonts w:hint="eastAsia" w:ascii="黑体" w:hAnsi="黑体" w:eastAsia="黑体" w:cs="Times New Roman"/>
                <w:color w:val="auto"/>
                <w:sz w:val="21"/>
                <w:szCs w:val="21"/>
              </w:rPr>
              <w:t>数量</w:t>
            </w:r>
          </w:p>
        </w:tc>
        <w:tc>
          <w:tcPr>
            <w:tcW w:w="226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Times New Roman"/>
                <w:color w:val="auto"/>
                <w:sz w:val="21"/>
                <w:szCs w:val="21"/>
              </w:rPr>
            </w:pPr>
            <w:r>
              <w:rPr>
                <w:rFonts w:hint="eastAsia" w:ascii="黑体" w:hAnsi="黑体" w:eastAsia="黑体"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r>
              <w:rPr>
                <w:rFonts w:hint="eastAsia" w:eastAsia="黑体" w:cs="Times New Roman"/>
                <w:color w:val="auto"/>
                <w:sz w:val="18"/>
                <w:szCs w:val="18"/>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r>
              <w:rPr>
                <w:rFonts w:hint="eastAsia" w:ascii="黑体" w:hAnsi="黑体" w:eastAsia="黑体" w:cs="Microsoft Himalaya"/>
                <w:color w:val="auto"/>
                <w:sz w:val="18"/>
                <w:szCs w:val="18"/>
              </w:rPr>
              <w:t>身份证件原件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黑体" w:hAnsi="黑体" w:eastAsia="黑体" w:cs="Microsoft Himalaya"/>
                <w:color w:val="auto"/>
                <w:sz w:val="18"/>
                <w:szCs w:val="18"/>
                <w:lang w:val="en-US" w:eastAsia="zh-CN"/>
              </w:rPr>
            </w:pPr>
            <w:r>
              <w:rPr>
                <w:rFonts w:hint="eastAsia" w:ascii="黑体" w:hAnsi="黑体" w:eastAsia="黑体" w:cs="Microsoft Himalaya"/>
                <w:color w:val="auto"/>
                <w:sz w:val="18"/>
                <w:szCs w:val="18"/>
                <w:lang w:val="en-US" w:eastAsia="zh-CN"/>
              </w:rPr>
              <w:t>1份</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r>
              <w:rPr>
                <w:rFonts w:hint="eastAsia" w:ascii="黑体" w:hAnsi="黑体" w:eastAsia="黑体" w:cs="Microsoft Himalaya"/>
                <w:color w:val="auto"/>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21"/>
                <w:szCs w:val="21"/>
                <w:lang w:val="zh-CN"/>
              </w:rPr>
            </w:pPr>
            <w:r>
              <w:rPr>
                <w:rFonts w:hint="eastAsia" w:ascii="黑体" w:hAnsi="黑体" w:eastAsia="黑体" w:cs="Times New Roman"/>
                <w:color w:val="auto"/>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42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Times New Roman"/>
                <w:color w:val="auto"/>
                <w:sz w:val="21"/>
                <w:szCs w:val="21"/>
              </w:rPr>
            </w:pPr>
            <w:r>
              <w:rPr>
                <w:rFonts w:hint="eastAsia" w:ascii="黑体" w:hAnsi="黑体" w:eastAsia="黑体" w:cs="Times New Roman"/>
                <w:color w:val="auto"/>
                <w:sz w:val="21"/>
                <w:szCs w:val="21"/>
              </w:rPr>
              <w:t>适用情形</w:t>
            </w:r>
          </w:p>
        </w:tc>
        <w:tc>
          <w:tcPr>
            <w:tcW w:w="279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Times New Roman"/>
                <w:color w:val="auto"/>
                <w:sz w:val="21"/>
                <w:szCs w:val="21"/>
              </w:rPr>
            </w:pPr>
            <w:r>
              <w:rPr>
                <w:rFonts w:hint="eastAsia" w:ascii="黑体" w:hAnsi="黑体" w:eastAsia="黑体" w:cs="Times New Roman"/>
                <w:color w:val="auto"/>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Times New Roman"/>
                <w:color w:val="auto"/>
                <w:sz w:val="21"/>
                <w:szCs w:val="21"/>
              </w:rPr>
            </w:pPr>
            <w:r>
              <w:rPr>
                <w:rFonts w:hint="eastAsia" w:ascii="黑体" w:hAnsi="黑体" w:eastAsia="黑体" w:cs="Times New Roman"/>
                <w:color w:val="auto"/>
                <w:sz w:val="21"/>
                <w:szCs w:val="21"/>
              </w:rPr>
              <w:t>数量</w:t>
            </w:r>
          </w:p>
        </w:tc>
        <w:tc>
          <w:tcPr>
            <w:tcW w:w="226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Times New Roman"/>
                <w:color w:val="auto"/>
                <w:sz w:val="21"/>
                <w:szCs w:val="21"/>
              </w:rPr>
            </w:pPr>
            <w:r>
              <w:rPr>
                <w:rFonts w:hint="eastAsia" w:ascii="黑体" w:hAnsi="黑体" w:eastAsia="黑体"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420"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r>
              <w:rPr>
                <w:rFonts w:hint="eastAsia" w:ascii="黑体" w:hAnsi="黑体" w:eastAsia="黑体" w:cs="Microsoft Himalaya"/>
                <w:color w:val="auto"/>
                <w:sz w:val="18"/>
                <w:szCs w:val="18"/>
              </w:rPr>
              <w:t>委托他人代为开具</w:t>
            </w:r>
          </w:p>
        </w:tc>
        <w:tc>
          <w:tcPr>
            <w:tcW w:w="2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r>
              <w:rPr>
                <w:rFonts w:hint="eastAsia" w:ascii="黑体" w:hAnsi="黑体" w:eastAsia="黑体" w:cs="Microsoft Himalaya"/>
                <w:color w:val="auto"/>
                <w:sz w:val="18"/>
                <w:szCs w:val="18"/>
              </w:rPr>
              <w:t>受托人身份证件原件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r>
              <w:rPr>
                <w:rFonts w:hint="default" w:ascii="黑体" w:hAnsi="黑体" w:eastAsia="黑体" w:cs="Microsoft Himalaya"/>
                <w:color w:val="auto"/>
                <w:sz w:val="18"/>
                <w:szCs w:val="18"/>
                <w:lang w:val="en-US" w:eastAsia="zh-CN"/>
              </w:rPr>
              <w:t>1份</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r>
              <w:rPr>
                <w:rFonts w:hint="eastAsia" w:ascii="黑体" w:hAnsi="黑体" w:eastAsia="黑体" w:cs="Microsoft Himalaya"/>
                <w:color w:val="auto"/>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420"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p>
        </w:tc>
        <w:tc>
          <w:tcPr>
            <w:tcW w:w="2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黑体" w:hAnsi="黑体" w:eastAsia="黑体" w:cs="Microsoft Himalaya"/>
                <w:color w:val="auto"/>
                <w:sz w:val="18"/>
                <w:szCs w:val="18"/>
                <w:lang w:eastAsia="zh-CN"/>
              </w:rPr>
            </w:pPr>
            <w:r>
              <w:rPr>
                <w:rFonts w:hint="eastAsia" w:ascii="黑体" w:hAnsi="黑体" w:eastAsia="黑体" w:cs="Microsoft Himalaya"/>
                <w:color w:val="auto"/>
                <w:sz w:val="18"/>
                <w:szCs w:val="18"/>
              </w:rPr>
              <w:t>委托人书面授权资料</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r>
              <w:rPr>
                <w:rFonts w:hint="eastAsia" w:ascii="黑体" w:hAnsi="黑体" w:eastAsia="黑体" w:cs="Microsoft Himalaya"/>
                <w:color w:val="auto"/>
                <w:sz w:val="18"/>
                <w:szCs w:val="18"/>
              </w:rPr>
              <w:t>1份</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auto"/>
          <w:sz w:val="24"/>
          <w:szCs w:val="24"/>
        </w:rPr>
      </w:pPr>
      <w:r>
        <w:rPr>
          <w:rFonts w:hint="eastAsia" w:ascii="黑体" w:hAnsi="黑体" w:eastAsia="黑体" w:cs="Times New Roman"/>
          <w:bCs/>
          <w:color w:val="auto"/>
          <w:sz w:val="24"/>
          <w:szCs w:val="24"/>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lang w:eastAsia="zh-CN"/>
        </w:rPr>
      </w:pPr>
      <w:r>
        <w:rPr>
          <w:rFonts w:hint="eastAsia" w:ascii="宋体" w:hAnsi="宋体" w:eastAsia="宋体"/>
          <w:color w:val="auto"/>
          <w:sz w:val="24"/>
          <w:szCs w:val="24"/>
        </w:rPr>
        <w:t>可通过办税服务厅（场所）、自然人税收管理系统（WEB端、APP端）、自助办税终端办理，</w:t>
      </w:r>
      <w:r>
        <w:rPr>
          <w:rFonts w:hint="eastAsia" w:ascii="宋体" w:hAnsi="宋体" w:eastAsia="宋体" w:cstheme="minorBidi"/>
          <w:color w:val="auto"/>
          <w:sz w:val="24"/>
          <w:szCs w:val="24"/>
          <w:lang w:eastAsia="zh-CN"/>
        </w:rPr>
        <w:t>办理地点和网址也可以通过吉林省税务局门户网站（http://jilin.chinatax.gov.cn/）“纳税服务”栏目查询。</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auto"/>
          <w:sz w:val="24"/>
          <w:szCs w:val="24"/>
        </w:rPr>
      </w:pPr>
      <w:r>
        <w:rPr>
          <w:rFonts w:hint="eastAsia" w:ascii="黑体" w:hAnsi="黑体" w:eastAsia="黑体" w:cs="Times New Roman"/>
          <w:bCs/>
          <w:color w:val="auto"/>
          <w:sz w:val="24"/>
          <w:szCs w:val="24"/>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主管税务机关</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auto"/>
          <w:sz w:val="24"/>
          <w:szCs w:val="24"/>
        </w:rPr>
      </w:pPr>
      <w:r>
        <w:rPr>
          <w:rFonts w:hint="eastAsia" w:ascii="黑体" w:hAnsi="黑体" w:eastAsia="黑体" w:cs="Times New Roman"/>
          <w:bCs/>
          <w:color w:val="auto"/>
          <w:sz w:val="24"/>
          <w:szCs w:val="24"/>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不收费</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auto"/>
          <w:sz w:val="24"/>
          <w:szCs w:val="24"/>
        </w:rPr>
      </w:pPr>
      <w:r>
        <w:rPr>
          <w:rFonts w:hint="eastAsia" w:ascii="黑体" w:hAnsi="黑体" w:eastAsia="黑体" w:cs="Times New Roman"/>
          <w:bCs/>
          <w:color w:val="auto"/>
          <w:sz w:val="24"/>
          <w:szCs w:val="24"/>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即时办结</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auto"/>
          <w:sz w:val="24"/>
          <w:szCs w:val="24"/>
        </w:rPr>
      </w:pPr>
      <w:r>
        <w:rPr>
          <w:rFonts w:hint="eastAsia" w:ascii="黑体" w:hAnsi="黑体" w:eastAsia="黑体" w:cs="Times New Roman"/>
          <w:bCs/>
          <w:color w:val="auto"/>
          <w:sz w:val="24"/>
          <w:szCs w:val="24"/>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Times New Roman"/>
          <w:bCs/>
          <w:color w:val="auto"/>
          <w:sz w:val="24"/>
          <w:szCs w:val="24"/>
          <w:lang w:eastAsia="zh-CN"/>
        </w:rPr>
      </w:pPr>
      <w:r>
        <w:rPr>
          <w:rFonts w:hint="eastAsia" w:ascii="宋体" w:hAnsi="宋体" w:eastAsia="宋体" w:cstheme="minorBidi"/>
          <w:color w:val="auto"/>
          <w:sz w:val="24"/>
          <w:szCs w:val="24"/>
          <w:lang w:eastAsia="zh-CN"/>
        </w:rPr>
        <w:t>办税服务厅对外公开联系电话，可在吉林省税务局门户网站（http://jilin.chinatax.gov.cn/）“纳税服务”栏目查询或拨打12366纳税服务热线查询。</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auto"/>
          <w:sz w:val="24"/>
          <w:szCs w:val="24"/>
        </w:rPr>
      </w:pPr>
      <w:r>
        <w:rPr>
          <w:rFonts w:hint="eastAsia" w:ascii="黑体" w:hAnsi="黑体" w:eastAsia="黑体" w:cs="Times New Roman"/>
          <w:bCs/>
          <w:color w:val="auto"/>
          <w:sz w:val="24"/>
          <w:szCs w:val="24"/>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olor w:val="auto"/>
          <w:sz w:val="24"/>
          <w:szCs w:val="24"/>
          <w:lang w:val="en-US" w:eastAsia="zh-CN"/>
        </w:rPr>
      </w:pPr>
      <w:r>
        <w:rPr>
          <w:rFonts w:hint="eastAsia" w:ascii="仿宋" w:hAnsi="仿宋" w:eastAsia="仿宋" w:cs="仿宋"/>
          <w:color w:val="auto"/>
          <w:sz w:val="24"/>
          <w:szCs w:val="24"/>
          <w:lang w:eastAsia="zh-CN"/>
        </w:rPr>
        <w:drawing>
          <wp:inline distT="0" distB="0" distL="114300" distR="114300">
            <wp:extent cx="5268595" cy="1781175"/>
            <wp:effectExtent l="0" t="0" r="8255" b="0"/>
            <wp:docPr id="1" name="图片 1"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纳税人流程图(即办）"/>
                    <pic:cNvPicPr>
                      <a:picLocks noChangeAspect="1"/>
                    </pic:cNvPicPr>
                  </pic:nvPicPr>
                  <pic:blipFill>
                    <a:blip r:embed="rId7"/>
                    <a:stretch>
                      <a:fillRect/>
                    </a:stretch>
                  </pic:blipFill>
                  <pic:spPr>
                    <a:xfrm>
                      <a:off x="0" y="0"/>
                      <a:ext cx="5268595" cy="1781175"/>
                    </a:xfrm>
                    <a:prstGeom prst="rect">
                      <a:avLst/>
                    </a:prstGeom>
                  </pic:spPr>
                </pic:pic>
              </a:graphicData>
            </a:graphic>
          </wp:inline>
        </w:drawing>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auto"/>
          <w:sz w:val="24"/>
          <w:szCs w:val="24"/>
        </w:rPr>
      </w:pPr>
      <w:r>
        <w:rPr>
          <w:rFonts w:hint="eastAsia" w:ascii="黑体" w:hAnsi="黑体" w:eastAsia="黑体" w:cs="Times New Roman"/>
          <w:bCs/>
          <w:color w:val="auto"/>
          <w:sz w:val="24"/>
          <w:szCs w:val="24"/>
        </w:rPr>
        <w:t>【纳税人注意事项】</w:t>
      </w:r>
    </w:p>
    <w:p>
      <w:pPr>
        <w:keepNext w:val="0"/>
        <w:keepLines w:val="0"/>
        <w:pageBreakBefore w:val="0"/>
        <w:widowControl w:val="0"/>
        <w:kinsoku/>
        <w:wordWrap w:val="0"/>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1.纳税人对报送材料的真实性和合法性承担责任。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2.税务机关提供“最多跑一次”服务。纳税人在资料完整且符合法定受理条件的前提下，最多只需要到税务机关跑一次。</w:t>
      </w:r>
    </w:p>
    <w:p>
      <w:pPr>
        <w:keepNext w:val="0"/>
        <w:keepLines w:val="0"/>
        <w:pageBreakBefore w:val="0"/>
        <w:widowControl w:val="0"/>
        <w:kinsoku/>
        <w:wordWrap w:val="0"/>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3.纳税人使用符合电子签名法规定条件的电子签名，与手写签名或者盖章具有同等法律效力。</w:t>
      </w:r>
    </w:p>
    <w:p>
      <w:pPr>
        <w:keepNext w:val="0"/>
        <w:keepLines w:val="0"/>
        <w:pageBreakBefore w:val="0"/>
        <w:widowControl w:val="0"/>
        <w:kinsoku/>
        <w:wordWrap w:val="0"/>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4.个人所得税税款所属期为2019年1月1日（含）以后的，税务机关开具个人所得税《纳税记录》；税款所属期为2018年12月31日（含）以前的，税务机关开具个人所得税《税收完税证明》（文书式）。</w:t>
      </w:r>
    </w:p>
    <w:p>
      <w:pPr>
        <w:keepNext w:val="0"/>
        <w:keepLines w:val="0"/>
        <w:pageBreakBefore w:val="0"/>
        <w:widowControl w:val="0"/>
        <w:kinsoku/>
        <w:wordWrap w:val="0"/>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5.个人所得税《纳税记录》涉及纳税人敏感信息，请妥善保存。</w:t>
      </w:r>
    </w:p>
    <w:p>
      <w:pPr>
        <w:keepNext w:val="0"/>
        <w:keepLines w:val="0"/>
        <w:pageBreakBefore w:val="0"/>
        <w:widowControl w:val="0"/>
        <w:kinsoku/>
        <w:wordWrap w:val="0"/>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6.纳税人对个人所得税《纳税记录》存在异议的，可以向该项记录中列明的税务机关申请核实。</w:t>
      </w:r>
    </w:p>
    <w:p>
      <w:pPr>
        <w:keepNext w:val="0"/>
        <w:keepLines w:val="0"/>
        <w:pageBreakBefore w:val="0"/>
        <w:widowControl w:val="0"/>
        <w:kinsoku/>
        <w:wordWrap w:val="0"/>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7.税务机关提供两种个人所得税《纳税记录》验证服务。一是通过手机APP扫描个人所得税《纳税记录》中的二维码进行验证；二是通过自然人税收管理系统输入个人所得税《纳税记录》中的验证码进行验证。</w:t>
      </w:r>
    </w:p>
    <w:p>
      <w:pPr>
        <w:keepNext w:val="0"/>
        <w:keepLines w:val="0"/>
        <w:pageBreakBefore w:val="0"/>
        <w:widowControl w:val="0"/>
        <w:kinsoku/>
        <w:wordWrap w:val="0"/>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8.个人所得税《纳税记录》因不同打印设备造成的色差，不影响使用效力。</w:t>
      </w:r>
    </w:p>
    <w:p>
      <w:pPr>
        <w:keepNext w:val="0"/>
        <w:keepLines w:val="0"/>
        <w:pageBreakBefore w:val="0"/>
        <w:widowControl w:val="0"/>
        <w:kinsoku/>
        <w:wordWrap w:val="0"/>
        <w:overflowPunct/>
        <w:topLinePunct w:val="0"/>
        <w:autoSpaceDE/>
        <w:autoSpaceDN/>
        <w:bidi w:val="0"/>
        <w:adjustRightInd/>
        <w:snapToGrid/>
        <w:spacing w:beforeLines="0" w:afterLines="0" w:line="360" w:lineRule="auto"/>
        <w:ind w:firstLine="480" w:firstLineChars="0"/>
        <w:jc w:val="left"/>
        <w:textAlignment w:val="auto"/>
        <w:rPr>
          <w:rFonts w:ascii="宋体" w:hAnsi="宋体" w:eastAsia="宋体"/>
          <w:color w:val="auto"/>
          <w:kern w:val="0"/>
          <w:szCs w:val="21"/>
        </w:rPr>
      </w:pPr>
      <w:r>
        <w:rPr>
          <w:rFonts w:hint="eastAsia" w:ascii="宋体" w:hAnsi="宋体" w:eastAsia="宋体"/>
          <w:color w:val="auto"/>
          <w:sz w:val="24"/>
          <w:szCs w:val="24"/>
          <w:lang w:val="en-US" w:eastAsia="zh-CN"/>
        </w:rPr>
        <w:t>9.个人所得税《纳税记录》不作纳税人记账、抵扣凭证。</w:t>
      </w:r>
    </w:p>
    <w:p>
      <w:pPr>
        <w:keepNext w:val="0"/>
        <w:keepLines w:val="0"/>
        <w:pageBreakBefore w:val="0"/>
        <w:widowControl w:val="0"/>
        <w:kinsoku/>
        <w:wordWrap w:val="0"/>
        <w:overflowPunct/>
        <w:topLinePunct w:val="0"/>
        <w:autoSpaceDE/>
        <w:autoSpaceDN/>
        <w:bidi w:val="0"/>
        <w:adjustRightInd/>
        <w:snapToGrid/>
        <w:textAlignment w:val="auto"/>
        <w:rPr>
          <w:rFonts w:hint="eastAsia" w:ascii="Times New Roman" w:hAnsi="Times New Roman" w:eastAsia="黑体" w:cs="Times New Roman"/>
          <w:b/>
          <w:bCs/>
          <w:color w:val="auto"/>
          <w:kern w:val="24"/>
          <w:sz w:val="28"/>
          <w:szCs w:val="28"/>
        </w:rPr>
      </w:pPr>
      <w:r>
        <w:rPr>
          <w:rFonts w:hint="eastAsia" w:ascii="Times New Roman" w:hAnsi="Times New Roman" w:eastAsia="黑体" w:cs="Times New Roman"/>
          <w:b/>
          <w:bCs/>
          <w:color w:val="auto"/>
          <w:kern w:val="24"/>
          <w:sz w:val="28"/>
          <w:szCs w:val="28"/>
        </w:rPr>
        <w:br w:type="page"/>
      </w:r>
    </w:p>
    <w:p>
      <w:pPr>
        <w:keepNext w:val="0"/>
        <w:keepLines w:val="0"/>
        <w:pageBreakBefore w:val="0"/>
        <w:widowControl w:val="0"/>
        <w:kinsoku/>
        <w:wordWrap w:val="0"/>
        <w:overflowPunct/>
        <w:topLinePunct w:val="0"/>
        <w:autoSpaceDE/>
        <w:autoSpaceDN/>
        <w:bidi w:val="0"/>
        <w:adjustRightInd/>
        <w:snapToGrid/>
        <w:spacing w:beforeLines="300" w:afterLines="100"/>
        <w:ind w:firstLine="510"/>
        <w:textAlignment w:val="auto"/>
        <w:outlineLvl w:val="2"/>
        <w:rPr>
          <w:rFonts w:hint="eastAsia" w:ascii="Times New Roman" w:hAnsi="Times New Roman" w:eastAsia="黑体" w:cs="Times New Roman"/>
          <w:b/>
          <w:bCs/>
          <w:color w:val="auto"/>
          <w:kern w:val="24"/>
          <w:sz w:val="28"/>
          <w:szCs w:val="28"/>
        </w:rPr>
      </w:pPr>
      <w:r>
        <w:rPr>
          <w:rFonts w:hint="eastAsia" w:ascii="Times New Roman" w:hAnsi="Times New Roman" w:eastAsia="黑体" w:cs="Times New Roman"/>
          <w:b/>
          <w:bCs/>
          <w:color w:val="auto"/>
          <w:kern w:val="24"/>
          <w:sz w:val="28"/>
          <w:szCs w:val="28"/>
        </w:rPr>
        <w:t>5</w:t>
      </w:r>
      <w:r>
        <w:rPr>
          <w:rFonts w:hint="eastAsia" w:ascii="Times New Roman" w:hAnsi="Times New Roman" w:eastAsia="黑体" w:cs="Times New Roman"/>
          <w:b/>
          <w:bCs/>
          <w:color w:val="auto"/>
          <w:kern w:val="24"/>
          <w:sz w:val="28"/>
          <w:szCs w:val="28"/>
          <w:lang w:eastAsia="zh-CN"/>
        </w:rPr>
        <w:t>.</w:t>
      </w:r>
      <w:r>
        <w:rPr>
          <w:rFonts w:hint="eastAsia" w:ascii="Times New Roman" w:hAnsi="Times New Roman" w:eastAsia="黑体" w:cs="Times New Roman"/>
          <w:b/>
          <w:bCs/>
          <w:color w:val="auto"/>
          <w:kern w:val="24"/>
          <w:sz w:val="28"/>
          <w:szCs w:val="28"/>
        </w:rPr>
        <w:t>1</w:t>
      </w:r>
      <w:r>
        <w:rPr>
          <w:rFonts w:hint="eastAsia" w:ascii="Times New Roman" w:hAnsi="Times New Roman" w:eastAsia="黑体" w:cs="Times New Roman"/>
          <w:b/>
          <w:bCs/>
          <w:color w:val="auto"/>
          <w:kern w:val="24"/>
          <w:sz w:val="28"/>
          <w:szCs w:val="28"/>
          <w:lang w:eastAsia="zh-CN"/>
        </w:rPr>
        <w:t>.</w:t>
      </w:r>
      <w:r>
        <w:rPr>
          <w:rFonts w:hint="eastAsia" w:ascii="Times New Roman" w:hAnsi="Times New Roman" w:eastAsia="黑体" w:cs="Times New Roman"/>
          <w:b/>
          <w:bCs/>
          <w:color w:val="auto"/>
          <w:kern w:val="24"/>
          <w:sz w:val="28"/>
          <w:szCs w:val="28"/>
          <w:lang w:val="en-US" w:eastAsia="zh-CN"/>
        </w:rPr>
        <w:t>3</w:t>
      </w:r>
      <w:r>
        <w:rPr>
          <w:rFonts w:hint="eastAsia" w:ascii="Times New Roman" w:hAnsi="Times New Roman" w:eastAsia="黑体" w:cs="Times New Roman"/>
          <w:b/>
          <w:bCs/>
          <w:color w:val="auto"/>
          <w:kern w:val="24"/>
          <w:sz w:val="28"/>
          <w:szCs w:val="28"/>
        </w:rPr>
        <w:t>—1</w:t>
      </w:r>
      <w:r>
        <w:rPr>
          <w:rFonts w:hint="eastAsia" w:ascii="Times New Roman" w:hAnsi="Times New Roman" w:eastAsia="黑体" w:cs="Times New Roman"/>
          <w:b/>
          <w:bCs/>
          <w:color w:val="auto"/>
          <w:kern w:val="24"/>
          <w:sz w:val="28"/>
          <w:szCs w:val="28"/>
          <w:lang w:val="en-US" w:eastAsia="zh-CN"/>
        </w:rPr>
        <w:t>31</w:t>
      </w:r>
      <w:r>
        <w:rPr>
          <w:rFonts w:hint="eastAsia" w:ascii="Times New Roman" w:hAnsi="Times New Roman" w:eastAsia="黑体" w:cs="Times New Roman"/>
          <w:b/>
          <w:bCs/>
          <w:color w:val="auto"/>
          <w:kern w:val="24"/>
          <w:sz w:val="28"/>
          <w:szCs w:val="28"/>
        </w:rPr>
        <w:t>　</w:t>
      </w:r>
      <w:r>
        <w:rPr>
          <w:rFonts w:hint="eastAsia" w:ascii="Times New Roman" w:hAnsi="Times New Roman" w:eastAsia="黑体" w:cs="Times New Roman"/>
          <w:b/>
          <w:bCs/>
          <w:color w:val="auto"/>
          <w:kern w:val="24"/>
          <w:sz w:val="28"/>
          <w:szCs w:val="28"/>
          <w:lang w:val="en-US" w:eastAsia="zh-CN"/>
        </w:rPr>
        <w:t>转开印花税票销售凭证</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auto"/>
          <w:sz w:val="24"/>
          <w:szCs w:val="24"/>
        </w:rPr>
      </w:pPr>
      <w:r>
        <w:rPr>
          <w:rFonts w:hint="eastAsia" w:ascii="黑体" w:hAnsi="黑体" w:eastAsia="黑体" w:cs="Times New Roman"/>
          <w:bCs/>
          <w:color w:val="auto"/>
          <w:sz w:val="24"/>
          <w:szCs w:val="24"/>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转开印花税票销售凭证</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【申请条件】</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lang w:val="en-US" w:eastAsia="zh-CN"/>
        </w:rPr>
      </w:pPr>
      <w:r>
        <w:rPr>
          <w:rFonts w:hint="eastAsia" w:ascii="宋体" w:hAnsi="宋体" w:eastAsia="宋体" w:cstheme="minorBidi"/>
          <w:b w:val="0"/>
          <w:i w:val="0"/>
          <w:caps w:val="0"/>
          <w:color w:val="auto"/>
          <w:spacing w:val="0"/>
          <w:sz w:val="24"/>
          <w:szCs w:val="24"/>
        </w:rPr>
        <w:t>纳税人通过横向联网方式完成印花税款的缴纳或退还后，向主管税务机关申请开具《中华人民共和国印花税票销售凭证》（证明凭证）。</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auto"/>
          <w:sz w:val="24"/>
          <w:szCs w:val="24"/>
        </w:rPr>
      </w:pPr>
      <w:r>
        <w:rPr>
          <w:rFonts w:hint="eastAsia" w:ascii="黑体" w:hAnsi="黑体" w:eastAsia="黑体" w:cs="Times New Roman"/>
          <w:bCs/>
          <w:color w:val="auto"/>
          <w:sz w:val="24"/>
          <w:szCs w:val="24"/>
        </w:rPr>
        <w:t>【设定依据】</w:t>
      </w:r>
    </w:p>
    <w:p>
      <w:pPr>
        <w:keepNext w:val="0"/>
        <w:keepLines w:val="0"/>
        <w:pageBreakBefore w:val="0"/>
        <w:widowControl w:val="0"/>
        <w:numPr>
          <w:ilvl w:val="-1"/>
          <w:numId w:val="0"/>
        </w:numPr>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1.《中华人民共和国印花税暂行条例》第五条</w:t>
      </w:r>
    </w:p>
    <w:p>
      <w:pPr>
        <w:keepNext w:val="0"/>
        <w:keepLines w:val="0"/>
        <w:pageBreakBefore w:val="0"/>
        <w:widowControl w:val="0"/>
        <w:numPr>
          <w:ilvl w:val="-1"/>
          <w:numId w:val="0"/>
        </w:numPr>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2.《税收票证管理办法》（国家税务总局令第28号公布，国家税务总局令第48号修改）第十六条</w:t>
      </w:r>
    </w:p>
    <w:p>
      <w:pPr>
        <w:keepNext w:val="0"/>
        <w:keepLines w:val="0"/>
        <w:pageBreakBefore w:val="0"/>
        <w:widowControl w:val="0"/>
        <w:numPr>
          <w:ilvl w:val="-1"/>
          <w:numId w:val="0"/>
        </w:numPr>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val="0"/>
          <w:color w:val="auto"/>
          <w:sz w:val="28"/>
          <w:szCs w:val="28"/>
        </w:rPr>
      </w:pPr>
      <w:r>
        <w:rPr>
          <w:rFonts w:hint="eastAsia" w:ascii="宋体" w:hAnsi="宋体" w:eastAsia="宋体"/>
          <w:color w:val="auto"/>
          <w:sz w:val="24"/>
          <w:szCs w:val="24"/>
          <w:lang w:val="en-US" w:eastAsia="zh-CN"/>
        </w:rPr>
        <w:t>3.《国家税务总局关于实施〈税收票证管理办法〉若干问题的公告》（国家税务总局公告2013年第34号）第二条第四项</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auto"/>
          <w:sz w:val="24"/>
          <w:szCs w:val="24"/>
        </w:rPr>
      </w:pPr>
      <w:r>
        <w:rPr>
          <w:rFonts w:hint="eastAsia" w:ascii="黑体" w:hAnsi="黑体" w:eastAsia="黑体" w:cs="Times New Roman"/>
          <w:bCs/>
          <w:color w:val="auto"/>
          <w:sz w:val="24"/>
          <w:szCs w:val="24"/>
        </w:rPr>
        <w:t>【办理材料】</w:t>
      </w:r>
    </w:p>
    <w:tbl>
      <w:tblPr>
        <w:tblStyle w:val="12"/>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3418"/>
        <w:gridCol w:w="792"/>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2381"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Times New Roman"/>
                <w:color w:val="auto"/>
                <w:sz w:val="21"/>
                <w:szCs w:val="21"/>
              </w:rPr>
            </w:pPr>
            <w:r>
              <w:rPr>
                <w:rFonts w:hint="eastAsia" w:ascii="黑体" w:hAnsi="黑体" w:eastAsia="黑体" w:cs="Times New Roman"/>
                <w:color w:val="auto"/>
                <w:sz w:val="21"/>
                <w:szCs w:val="21"/>
              </w:rPr>
              <w:t>适用情形</w:t>
            </w:r>
          </w:p>
        </w:tc>
        <w:tc>
          <w:tcPr>
            <w:tcW w:w="341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Times New Roman"/>
                <w:color w:val="auto"/>
                <w:sz w:val="21"/>
                <w:szCs w:val="21"/>
              </w:rPr>
            </w:pPr>
            <w:r>
              <w:rPr>
                <w:rFonts w:hint="eastAsia" w:ascii="黑体" w:hAnsi="黑体" w:eastAsia="黑体" w:cs="Times New Roman"/>
                <w:color w:val="auto"/>
                <w:sz w:val="21"/>
                <w:szCs w:val="21"/>
              </w:rPr>
              <w:t>材料名称</w:t>
            </w:r>
          </w:p>
        </w:tc>
        <w:tc>
          <w:tcPr>
            <w:tcW w:w="792"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Times New Roman"/>
                <w:color w:val="auto"/>
                <w:sz w:val="21"/>
                <w:szCs w:val="21"/>
              </w:rPr>
            </w:pPr>
            <w:r>
              <w:rPr>
                <w:rFonts w:hint="eastAsia" w:ascii="黑体" w:hAnsi="黑体" w:eastAsia="黑体" w:cs="Times New Roman"/>
                <w:color w:val="auto"/>
                <w:sz w:val="21"/>
                <w:szCs w:val="21"/>
              </w:rPr>
              <w:t>数量</w:t>
            </w:r>
          </w:p>
        </w:tc>
        <w:tc>
          <w:tcPr>
            <w:tcW w:w="1573"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Times New Roman"/>
                <w:color w:val="auto"/>
                <w:sz w:val="21"/>
                <w:szCs w:val="21"/>
              </w:rPr>
            </w:pPr>
            <w:r>
              <w:rPr>
                <w:rFonts w:hint="eastAsia" w:ascii="黑体" w:hAnsi="黑体" w:eastAsia="黑体"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381" w:type="dxa"/>
            <w:tcBorders>
              <w:left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Times New Roman"/>
                <w:color w:val="auto"/>
                <w:sz w:val="21"/>
                <w:szCs w:val="21"/>
              </w:rPr>
            </w:pPr>
            <w:r>
              <w:rPr>
                <w:rFonts w:hint="eastAsia" w:ascii="黑体" w:hAnsi="黑体" w:eastAsia="黑体" w:cs="Microsoft Himalaya"/>
                <w:color w:val="auto"/>
                <w:sz w:val="18"/>
                <w:szCs w:val="18"/>
              </w:rPr>
              <w:t>自然人</w:t>
            </w:r>
          </w:p>
        </w:tc>
        <w:tc>
          <w:tcPr>
            <w:tcW w:w="3418" w:type="dxa"/>
            <w:tcBorders>
              <w:left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r>
              <w:rPr>
                <w:rFonts w:hint="eastAsia" w:ascii="黑体" w:hAnsi="黑体" w:eastAsia="黑体" w:cs="Microsoft Himalaya"/>
                <w:color w:val="auto"/>
                <w:sz w:val="18"/>
                <w:szCs w:val="18"/>
              </w:rPr>
              <w:t>身份证件原件</w:t>
            </w: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lang w:val="en-US" w:eastAsia="zh-CN"/>
              </w:rPr>
            </w:pPr>
            <w:r>
              <w:rPr>
                <w:rFonts w:hint="eastAsia" w:ascii="黑体" w:hAnsi="黑体" w:eastAsia="黑体" w:cs="Microsoft Himalaya"/>
                <w:color w:val="auto"/>
                <w:sz w:val="18"/>
                <w:szCs w:val="18"/>
                <w:lang w:val="en-US" w:eastAsia="zh-CN"/>
              </w:rPr>
              <w:t>1份</w:t>
            </w:r>
          </w:p>
        </w:tc>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r>
              <w:rPr>
                <w:rFonts w:hint="eastAsia" w:ascii="黑体" w:hAnsi="黑体" w:eastAsia="黑体" w:cs="Microsoft Himalaya"/>
                <w:color w:val="auto"/>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2381" w:type="dxa"/>
            <w:tcBorders>
              <w:left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r>
              <w:rPr>
                <w:rFonts w:hint="eastAsia" w:ascii="黑体" w:hAnsi="黑体" w:eastAsia="黑体" w:cs="Times New Roman"/>
                <w:color w:val="auto"/>
                <w:sz w:val="18"/>
                <w:szCs w:val="22"/>
              </w:rPr>
              <w:t>已办理税务登记的纳税人</w:t>
            </w:r>
          </w:p>
        </w:tc>
        <w:tc>
          <w:tcPr>
            <w:tcW w:w="3418" w:type="dxa"/>
            <w:tcBorders>
              <w:left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r>
              <w:rPr>
                <w:rFonts w:hint="eastAsia" w:ascii="黑体" w:hAnsi="黑体" w:eastAsia="黑体" w:cs="Microsoft Himalaya"/>
                <w:color w:val="auto"/>
                <w:sz w:val="18"/>
                <w:szCs w:val="18"/>
              </w:rPr>
              <w:t>加载统一社会信用代码的营业执照（或</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r>
              <w:rPr>
                <w:rFonts w:hint="eastAsia" w:ascii="黑体" w:hAnsi="黑体" w:eastAsia="黑体" w:cs="Microsoft Himalaya"/>
                <w:color w:val="auto"/>
                <w:sz w:val="18"/>
                <w:szCs w:val="18"/>
              </w:rPr>
              <w:t>税务登记证、组织机构代码证等）原件</w:t>
            </w: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黑体" w:hAnsi="黑体" w:eastAsia="黑体" w:cs="Microsoft Himalaya"/>
                <w:color w:val="auto"/>
                <w:sz w:val="18"/>
                <w:szCs w:val="18"/>
                <w:lang w:val="en-US" w:eastAsia="zh-CN"/>
              </w:rPr>
            </w:pPr>
            <w:r>
              <w:rPr>
                <w:rFonts w:hint="eastAsia" w:ascii="黑体" w:hAnsi="黑体" w:eastAsia="黑体" w:cs="Microsoft Himalaya"/>
                <w:color w:val="auto"/>
                <w:sz w:val="18"/>
                <w:szCs w:val="18"/>
                <w:lang w:val="en-US" w:eastAsia="zh-CN"/>
              </w:rPr>
              <w:t>1份</w:t>
            </w:r>
          </w:p>
        </w:tc>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黑体" w:hAnsi="黑体" w:eastAsia="黑体" w:cs="Microsoft Himalaya"/>
                <w:color w:val="auto"/>
                <w:sz w:val="18"/>
                <w:szCs w:val="18"/>
              </w:rPr>
            </w:pPr>
            <w:r>
              <w:rPr>
                <w:rFonts w:hint="eastAsia" w:ascii="黑体" w:hAnsi="黑体" w:eastAsia="黑体" w:cs="Microsoft Himalaya"/>
                <w:color w:val="auto"/>
                <w:sz w:val="18"/>
                <w:szCs w:val="18"/>
              </w:rPr>
              <w:t>查验后退回</w:t>
            </w: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auto"/>
          <w:sz w:val="24"/>
          <w:szCs w:val="24"/>
        </w:rPr>
      </w:pPr>
      <w:r>
        <w:rPr>
          <w:rFonts w:hint="eastAsia" w:ascii="黑体" w:hAnsi="黑体" w:eastAsia="黑体" w:cs="Times New Roman"/>
          <w:bCs/>
          <w:color w:val="auto"/>
          <w:sz w:val="24"/>
          <w:szCs w:val="24"/>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lang w:eastAsia="zh-CN"/>
        </w:rPr>
      </w:pPr>
      <w:r>
        <w:rPr>
          <w:rFonts w:hint="eastAsia" w:ascii="宋体" w:hAnsi="宋体" w:eastAsia="宋体"/>
          <w:color w:val="auto"/>
          <w:sz w:val="24"/>
          <w:szCs w:val="24"/>
        </w:rPr>
        <w:t>可通过办税服务厅（场所）、电子税务局办理，</w:t>
      </w:r>
      <w:r>
        <w:rPr>
          <w:rFonts w:hint="eastAsia" w:ascii="宋体" w:hAnsi="宋体" w:eastAsia="宋体" w:cstheme="minorBidi"/>
          <w:color w:val="auto"/>
          <w:sz w:val="24"/>
          <w:szCs w:val="24"/>
          <w:lang w:eastAsia="zh-CN"/>
        </w:rPr>
        <w:t>办理地点和网址也可以通过吉林省税务局门户网站（http://jilin.chinatax.gov.cn/）“纳税服务”栏目查询。</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auto"/>
          <w:sz w:val="24"/>
          <w:szCs w:val="24"/>
        </w:rPr>
      </w:pPr>
      <w:r>
        <w:rPr>
          <w:rFonts w:hint="eastAsia" w:ascii="黑体" w:hAnsi="黑体" w:eastAsia="黑体" w:cs="Times New Roman"/>
          <w:bCs/>
          <w:color w:val="auto"/>
          <w:sz w:val="24"/>
          <w:szCs w:val="24"/>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主管税务机关</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auto"/>
          <w:sz w:val="24"/>
          <w:szCs w:val="24"/>
        </w:rPr>
      </w:pPr>
      <w:r>
        <w:rPr>
          <w:rFonts w:hint="eastAsia" w:ascii="黑体" w:hAnsi="黑体" w:eastAsia="黑体" w:cs="Times New Roman"/>
          <w:bCs/>
          <w:color w:val="auto"/>
          <w:sz w:val="24"/>
          <w:szCs w:val="24"/>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不收费</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auto"/>
          <w:sz w:val="24"/>
          <w:szCs w:val="24"/>
        </w:rPr>
      </w:pPr>
      <w:r>
        <w:rPr>
          <w:rFonts w:hint="eastAsia" w:ascii="黑体" w:hAnsi="黑体" w:eastAsia="黑体" w:cs="Times New Roman"/>
          <w:bCs/>
          <w:color w:val="auto"/>
          <w:sz w:val="24"/>
          <w:szCs w:val="24"/>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即时办结</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auto"/>
          <w:sz w:val="24"/>
          <w:szCs w:val="24"/>
        </w:rPr>
      </w:pPr>
      <w:r>
        <w:rPr>
          <w:rFonts w:hint="eastAsia" w:ascii="黑体" w:hAnsi="黑体" w:eastAsia="黑体" w:cs="Times New Roman"/>
          <w:bCs/>
          <w:color w:val="auto"/>
          <w:sz w:val="24"/>
          <w:szCs w:val="24"/>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lang w:val="en-US" w:eastAsia="zh-CN"/>
        </w:rPr>
        <w:t>办税服务厅对外公开联系电话，可在吉林省税务局门户网站（http://jilin.chinatax.gov.cn/）“纳税服务”栏目查询或拨打12366纳税服务热线查询。</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auto"/>
          <w:sz w:val="24"/>
          <w:szCs w:val="24"/>
        </w:rPr>
      </w:pPr>
      <w:r>
        <w:rPr>
          <w:rFonts w:hint="eastAsia" w:ascii="黑体" w:hAnsi="黑体" w:eastAsia="黑体" w:cs="Times New Roman"/>
          <w:bCs/>
          <w:color w:val="auto"/>
          <w:sz w:val="24"/>
          <w:szCs w:val="24"/>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olor w:val="auto"/>
          <w:sz w:val="24"/>
          <w:szCs w:val="24"/>
          <w:lang w:val="en-US" w:eastAsia="zh-CN"/>
        </w:rPr>
      </w:pPr>
      <w:r>
        <w:rPr>
          <w:rFonts w:hint="eastAsia" w:ascii="宋体" w:hAnsi="宋体" w:eastAsia="仿宋_GB2312"/>
          <w:color w:val="auto"/>
          <w:u w:val="none"/>
          <w:lang w:eastAsia="zh-CN"/>
        </w:rPr>
        <w:drawing>
          <wp:inline distT="0" distB="0" distL="114300" distR="114300">
            <wp:extent cx="5184140" cy="1776095"/>
            <wp:effectExtent l="0" t="0" r="12700" b="0"/>
            <wp:docPr id="86" name="图片 86" descr="C:\Users\baoqianyu\Desktop\流程图\即办\纳税人（无归档）.png纳税人（无归档）"/>
            <wp:cNvGraphicFramePr/>
            <a:graphic xmlns:a="http://schemas.openxmlformats.org/drawingml/2006/main">
              <a:graphicData uri="http://schemas.openxmlformats.org/drawingml/2006/picture">
                <pic:pic xmlns:pic="http://schemas.openxmlformats.org/drawingml/2006/picture">
                  <pic:nvPicPr>
                    <pic:cNvPr id="86" name="图片 86" descr="C:\Users\baoqianyu\Desktop\流程图\即办\纳税人（无归档）.png纳税人（无归档）"/>
                    <pic:cNvPicPr/>
                  </pic:nvPicPr>
                  <pic:blipFill>
                    <a:blip r:embed="rId8"/>
                    <a:srcRect/>
                    <a:stretch>
                      <a:fillRect/>
                    </a:stretch>
                  </pic:blipFill>
                  <pic:spPr>
                    <a:xfrm>
                      <a:off x="0" y="0"/>
                      <a:ext cx="5184140" cy="1776095"/>
                    </a:xfrm>
                    <a:prstGeom prst="rect">
                      <a:avLst/>
                    </a:prstGeom>
                  </pic:spPr>
                </pic:pic>
              </a:graphicData>
            </a:graphic>
          </wp:inline>
        </w:drawing>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auto"/>
          <w:sz w:val="24"/>
          <w:szCs w:val="24"/>
        </w:rPr>
      </w:pPr>
      <w:r>
        <w:rPr>
          <w:rFonts w:hint="eastAsia" w:ascii="黑体" w:hAnsi="黑体" w:eastAsia="黑体" w:cs="Times New Roman"/>
          <w:bCs/>
          <w:color w:val="auto"/>
          <w:sz w:val="24"/>
          <w:szCs w:val="24"/>
        </w:rPr>
        <w:t>【纳税人注意事项】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1</w:t>
      </w:r>
      <w:r>
        <w:rPr>
          <w:rFonts w:hint="eastAsia" w:ascii="Times New Roman" w:hAnsi="Times New Roman" w:eastAsia="宋体"/>
          <w:color w:val="auto"/>
          <w:sz w:val="24"/>
          <w:szCs w:val="24"/>
          <w:lang w:eastAsia="zh-CN"/>
        </w:rPr>
        <w:t>.</w:t>
      </w:r>
      <w:r>
        <w:rPr>
          <w:rFonts w:hint="eastAsia" w:ascii="宋体" w:hAnsi="宋体" w:eastAsia="宋体"/>
          <w:color w:val="auto"/>
          <w:sz w:val="24"/>
          <w:szCs w:val="24"/>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olor w:val="auto"/>
          <w:kern w:val="0"/>
          <w:szCs w:val="21"/>
        </w:rPr>
      </w:pPr>
      <w:r>
        <w:rPr>
          <w:rFonts w:hint="eastAsia" w:ascii="宋体" w:hAnsi="宋体" w:eastAsia="宋体"/>
          <w:color w:val="auto"/>
          <w:sz w:val="24"/>
          <w:szCs w:val="24"/>
        </w:rPr>
        <w:t>2</w:t>
      </w:r>
      <w:r>
        <w:rPr>
          <w:rFonts w:hint="eastAsia" w:ascii="宋体" w:hAnsi="宋体" w:eastAsia="宋体"/>
          <w:color w:val="auto"/>
          <w:sz w:val="24"/>
          <w:szCs w:val="24"/>
          <w:lang w:eastAsia="zh-CN"/>
        </w:rPr>
        <w:t>.纳税人使用符合电子签名法规定条件的电子签名，与手写签名或者盖章具有同等法律效力。</w:t>
      </w:r>
    </w:p>
    <w:sectPr>
      <w:footerReference r:id="rId5" w:type="first"/>
      <w:headerReference r:id="rId3" w:type="even"/>
      <w:footerReference r:id="rId4" w:type="even"/>
      <w:pgSz w:w="11906" w:h="16838"/>
      <w:pgMar w:top="1440" w:right="1800" w:bottom="1440" w:left="1800" w:header="851" w:footer="1077" w:gutter="0"/>
      <w:pgNumType w:start="1"/>
      <w:cols w:space="0" w:num="1"/>
      <w:rtlGutter w:val="0"/>
      <w:docGrid w:type="linesAndChar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96AA7"/>
    <w:multiLevelType w:val="multilevel"/>
    <w:tmpl w:val="34B96AA7"/>
    <w:lvl w:ilvl="0" w:tentative="0">
      <w:start w:val="1"/>
      <w:numFmt w:val="bullet"/>
      <w:pStyle w:val="35"/>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56930417"/>
    <w:multiLevelType w:val="multilevel"/>
    <w:tmpl w:val="56930417"/>
    <w:lvl w:ilvl="0" w:tentative="0">
      <w:start w:val="1"/>
      <w:numFmt w:val="bullet"/>
      <w:pStyle w:val="4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linkStyles/>
  <w:documentProtection w:enforcement="0"/>
  <w:defaultTabStop w:val="420"/>
  <w:drawingGridHorizontalSpacing w:val="105"/>
  <w:drawingGridVerticalSpacing w:val="16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19"/>
    <w:rsid w:val="00014597"/>
    <w:rsid w:val="000219BE"/>
    <w:rsid w:val="00022A54"/>
    <w:rsid w:val="00027D0B"/>
    <w:rsid w:val="000428BC"/>
    <w:rsid w:val="00055639"/>
    <w:rsid w:val="00056AFA"/>
    <w:rsid w:val="00083596"/>
    <w:rsid w:val="000846F2"/>
    <w:rsid w:val="00085796"/>
    <w:rsid w:val="00087CCE"/>
    <w:rsid w:val="0009448E"/>
    <w:rsid w:val="00095E86"/>
    <w:rsid w:val="000A7FAE"/>
    <w:rsid w:val="000C4BAC"/>
    <w:rsid w:val="000D3246"/>
    <w:rsid w:val="000E117A"/>
    <w:rsid w:val="000F2174"/>
    <w:rsid w:val="000F401F"/>
    <w:rsid w:val="000F7918"/>
    <w:rsid w:val="00101103"/>
    <w:rsid w:val="00106629"/>
    <w:rsid w:val="001170DA"/>
    <w:rsid w:val="00122D7E"/>
    <w:rsid w:val="00124831"/>
    <w:rsid w:val="001353E5"/>
    <w:rsid w:val="00141E5A"/>
    <w:rsid w:val="00155D6D"/>
    <w:rsid w:val="00162017"/>
    <w:rsid w:val="001707B5"/>
    <w:rsid w:val="00172A27"/>
    <w:rsid w:val="00176C38"/>
    <w:rsid w:val="00176D05"/>
    <w:rsid w:val="001815DE"/>
    <w:rsid w:val="00184FB7"/>
    <w:rsid w:val="00185305"/>
    <w:rsid w:val="001918A2"/>
    <w:rsid w:val="0019295E"/>
    <w:rsid w:val="001A102C"/>
    <w:rsid w:val="001A3A44"/>
    <w:rsid w:val="001A4206"/>
    <w:rsid w:val="001B08E0"/>
    <w:rsid w:val="001B12FC"/>
    <w:rsid w:val="001B2008"/>
    <w:rsid w:val="001B2DEB"/>
    <w:rsid w:val="001B408B"/>
    <w:rsid w:val="001C0D8A"/>
    <w:rsid w:val="001C52C0"/>
    <w:rsid w:val="001D1249"/>
    <w:rsid w:val="001D52C3"/>
    <w:rsid w:val="00204243"/>
    <w:rsid w:val="00205F2B"/>
    <w:rsid w:val="002065D3"/>
    <w:rsid w:val="00210A7D"/>
    <w:rsid w:val="0022514A"/>
    <w:rsid w:val="00236962"/>
    <w:rsid w:val="00243D67"/>
    <w:rsid w:val="00252B86"/>
    <w:rsid w:val="00262866"/>
    <w:rsid w:val="002A26F4"/>
    <w:rsid w:val="002A6FE7"/>
    <w:rsid w:val="002C6B1C"/>
    <w:rsid w:val="002C6E4B"/>
    <w:rsid w:val="002D1D84"/>
    <w:rsid w:val="002F3D8C"/>
    <w:rsid w:val="003019A9"/>
    <w:rsid w:val="00307C1D"/>
    <w:rsid w:val="0031726D"/>
    <w:rsid w:val="00325422"/>
    <w:rsid w:val="0033289C"/>
    <w:rsid w:val="0033606B"/>
    <w:rsid w:val="0035409D"/>
    <w:rsid w:val="0037334E"/>
    <w:rsid w:val="003841C2"/>
    <w:rsid w:val="003953B1"/>
    <w:rsid w:val="00396922"/>
    <w:rsid w:val="0039746C"/>
    <w:rsid w:val="003A346A"/>
    <w:rsid w:val="003A5CAC"/>
    <w:rsid w:val="003C4F84"/>
    <w:rsid w:val="003D2655"/>
    <w:rsid w:val="0041725F"/>
    <w:rsid w:val="00421FEB"/>
    <w:rsid w:val="00423EA4"/>
    <w:rsid w:val="004249AF"/>
    <w:rsid w:val="00424F2B"/>
    <w:rsid w:val="00437C55"/>
    <w:rsid w:val="00444868"/>
    <w:rsid w:val="004529C0"/>
    <w:rsid w:val="00455EB2"/>
    <w:rsid w:val="00457BC6"/>
    <w:rsid w:val="004632BD"/>
    <w:rsid w:val="00483124"/>
    <w:rsid w:val="00484369"/>
    <w:rsid w:val="00491001"/>
    <w:rsid w:val="00494B49"/>
    <w:rsid w:val="004A0290"/>
    <w:rsid w:val="004B0276"/>
    <w:rsid w:val="004B1EB6"/>
    <w:rsid w:val="004C2629"/>
    <w:rsid w:val="004D254E"/>
    <w:rsid w:val="004E720F"/>
    <w:rsid w:val="00502502"/>
    <w:rsid w:val="005030B3"/>
    <w:rsid w:val="005328DD"/>
    <w:rsid w:val="0054071F"/>
    <w:rsid w:val="00546B34"/>
    <w:rsid w:val="00554FB1"/>
    <w:rsid w:val="005570B3"/>
    <w:rsid w:val="00564C8F"/>
    <w:rsid w:val="00574BA2"/>
    <w:rsid w:val="00586BD8"/>
    <w:rsid w:val="005878D1"/>
    <w:rsid w:val="005A0272"/>
    <w:rsid w:val="005B1D79"/>
    <w:rsid w:val="005D2B99"/>
    <w:rsid w:val="005F1645"/>
    <w:rsid w:val="005F18BE"/>
    <w:rsid w:val="005F42E9"/>
    <w:rsid w:val="00613186"/>
    <w:rsid w:val="00614451"/>
    <w:rsid w:val="00647993"/>
    <w:rsid w:val="00652D9C"/>
    <w:rsid w:val="00656D0E"/>
    <w:rsid w:val="00657F17"/>
    <w:rsid w:val="00663BE3"/>
    <w:rsid w:val="00666391"/>
    <w:rsid w:val="00675B35"/>
    <w:rsid w:val="0067754A"/>
    <w:rsid w:val="0068027D"/>
    <w:rsid w:val="00685E62"/>
    <w:rsid w:val="006909C3"/>
    <w:rsid w:val="00695D04"/>
    <w:rsid w:val="006A168C"/>
    <w:rsid w:val="006A7D06"/>
    <w:rsid w:val="006B538C"/>
    <w:rsid w:val="006C25E9"/>
    <w:rsid w:val="006C2653"/>
    <w:rsid w:val="006C3557"/>
    <w:rsid w:val="006E1FCC"/>
    <w:rsid w:val="006E3FFF"/>
    <w:rsid w:val="007026F1"/>
    <w:rsid w:val="00702F60"/>
    <w:rsid w:val="00703618"/>
    <w:rsid w:val="00706102"/>
    <w:rsid w:val="0071616B"/>
    <w:rsid w:val="007419E1"/>
    <w:rsid w:val="00742EA7"/>
    <w:rsid w:val="007441B3"/>
    <w:rsid w:val="0077089A"/>
    <w:rsid w:val="007726BC"/>
    <w:rsid w:val="00772A38"/>
    <w:rsid w:val="007830D2"/>
    <w:rsid w:val="0079465D"/>
    <w:rsid w:val="007D1B4B"/>
    <w:rsid w:val="007D3229"/>
    <w:rsid w:val="007D3DA9"/>
    <w:rsid w:val="007E236A"/>
    <w:rsid w:val="007E5D69"/>
    <w:rsid w:val="00805CAA"/>
    <w:rsid w:val="00812CE0"/>
    <w:rsid w:val="00813C92"/>
    <w:rsid w:val="00817B17"/>
    <w:rsid w:val="00843E9B"/>
    <w:rsid w:val="00855FB5"/>
    <w:rsid w:val="0089253F"/>
    <w:rsid w:val="00894C02"/>
    <w:rsid w:val="00897B07"/>
    <w:rsid w:val="008A395C"/>
    <w:rsid w:val="008A5AB4"/>
    <w:rsid w:val="008A7CB8"/>
    <w:rsid w:val="008B7867"/>
    <w:rsid w:val="008C56DC"/>
    <w:rsid w:val="008D2D18"/>
    <w:rsid w:val="008D760E"/>
    <w:rsid w:val="008E50DF"/>
    <w:rsid w:val="008E73A2"/>
    <w:rsid w:val="008F39D6"/>
    <w:rsid w:val="009136C2"/>
    <w:rsid w:val="00920D58"/>
    <w:rsid w:val="009264C7"/>
    <w:rsid w:val="0094443B"/>
    <w:rsid w:val="00950F23"/>
    <w:rsid w:val="009510F3"/>
    <w:rsid w:val="00951C42"/>
    <w:rsid w:val="009524B3"/>
    <w:rsid w:val="00964AB2"/>
    <w:rsid w:val="00981B18"/>
    <w:rsid w:val="00982FF2"/>
    <w:rsid w:val="00991B7B"/>
    <w:rsid w:val="009931EE"/>
    <w:rsid w:val="009A3A53"/>
    <w:rsid w:val="009B1386"/>
    <w:rsid w:val="009B1F30"/>
    <w:rsid w:val="009B72D0"/>
    <w:rsid w:val="009C0D37"/>
    <w:rsid w:val="009C75E2"/>
    <w:rsid w:val="009D1BD6"/>
    <w:rsid w:val="009D2C83"/>
    <w:rsid w:val="009D4CE8"/>
    <w:rsid w:val="009D68BC"/>
    <w:rsid w:val="009D76E6"/>
    <w:rsid w:val="009E0659"/>
    <w:rsid w:val="009E4D95"/>
    <w:rsid w:val="009F54A5"/>
    <w:rsid w:val="00A07666"/>
    <w:rsid w:val="00A203E4"/>
    <w:rsid w:val="00A24ACC"/>
    <w:rsid w:val="00A25A06"/>
    <w:rsid w:val="00A27456"/>
    <w:rsid w:val="00A303BF"/>
    <w:rsid w:val="00A40573"/>
    <w:rsid w:val="00A40737"/>
    <w:rsid w:val="00A425D7"/>
    <w:rsid w:val="00A46FC0"/>
    <w:rsid w:val="00A5597C"/>
    <w:rsid w:val="00A64AFE"/>
    <w:rsid w:val="00A82294"/>
    <w:rsid w:val="00A83B29"/>
    <w:rsid w:val="00A84DEB"/>
    <w:rsid w:val="00A909C2"/>
    <w:rsid w:val="00A91A5C"/>
    <w:rsid w:val="00A93A96"/>
    <w:rsid w:val="00AA06B2"/>
    <w:rsid w:val="00AA153D"/>
    <w:rsid w:val="00AB2A08"/>
    <w:rsid w:val="00AB3804"/>
    <w:rsid w:val="00AC27F5"/>
    <w:rsid w:val="00AD24C7"/>
    <w:rsid w:val="00AD24FB"/>
    <w:rsid w:val="00AD6FDC"/>
    <w:rsid w:val="00AF359B"/>
    <w:rsid w:val="00B02155"/>
    <w:rsid w:val="00B05213"/>
    <w:rsid w:val="00B16479"/>
    <w:rsid w:val="00B22275"/>
    <w:rsid w:val="00B2254E"/>
    <w:rsid w:val="00B32882"/>
    <w:rsid w:val="00B4454A"/>
    <w:rsid w:val="00B571FF"/>
    <w:rsid w:val="00B724ED"/>
    <w:rsid w:val="00B76B46"/>
    <w:rsid w:val="00BA0A6B"/>
    <w:rsid w:val="00BA58A8"/>
    <w:rsid w:val="00BA616B"/>
    <w:rsid w:val="00BD2661"/>
    <w:rsid w:val="00BD3148"/>
    <w:rsid w:val="00BF1037"/>
    <w:rsid w:val="00BF27AF"/>
    <w:rsid w:val="00BF4082"/>
    <w:rsid w:val="00C220E7"/>
    <w:rsid w:val="00C26DCF"/>
    <w:rsid w:val="00C350CF"/>
    <w:rsid w:val="00C37101"/>
    <w:rsid w:val="00C37DAC"/>
    <w:rsid w:val="00C45F51"/>
    <w:rsid w:val="00C47269"/>
    <w:rsid w:val="00C50E6E"/>
    <w:rsid w:val="00C611BF"/>
    <w:rsid w:val="00C62740"/>
    <w:rsid w:val="00C64A65"/>
    <w:rsid w:val="00C66378"/>
    <w:rsid w:val="00C70C1E"/>
    <w:rsid w:val="00C85512"/>
    <w:rsid w:val="00C92C9B"/>
    <w:rsid w:val="00C93897"/>
    <w:rsid w:val="00CA1B22"/>
    <w:rsid w:val="00CC5707"/>
    <w:rsid w:val="00CE535D"/>
    <w:rsid w:val="00CE7967"/>
    <w:rsid w:val="00D122F9"/>
    <w:rsid w:val="00D17708"/>
    <w:rsid w:val="00D25E5C"/>
    <w:rsid w:val="00D32D48"/>
    <w:rsid w:val="00D414DB"/>
    <w:rsid w:val="00D41896"/>
    <w:rsid w:val="00D4297B"/>
    <w:rsid w:val="00D43B54"/>
    <w:rsid w:val="00D535F3"/>
    <w:rsid w:val="00D701E1"/>
    <w:rsid w:val="00D75529"/>
    <w:rsid w:val="00D958D0"/>
    <w:rsid w:val="00DB5D40"/>
    <w:rsid w:val="00DC440F"/>
    <w:rsid w:val="00DC6856"/>
    <w:rsid w:val="00DD47C6"/>
    <w:rsid w:val="00DE4D54"/>
    <w:rsid w:val="00DF7CEC"/>
    <w:rsid w:val="00E352C8"/>
    <w:rsid w:val="00E405C4"/>
    <w:rsid w:val="00E41825"/>
    <w:rsid w:val="00E427F0"/>
    <w:rsid w:val="00E94BD7"/>
    <w:rsid w:val="00EA52C6"/>
    <w:rsid w:val="00EA5875"/>
    <w:rsid w:val="00EB2C4A"/>
    <w:rsid w:val="00EB4199"/>
    <w:rsid w:val="00EC234E"/>
    <w:rsid w:val="00EC5949"/>
    <w:rsid w:val="00ED7E4E"/>
    <w:rsid w:val="00EE047B"/>
    <w:rsid w:val="00EF3450"/>
    <w:rsid w:val="00F04C54"/>
    <w:rsid w:val="00F15157"/>
    <w:rsid w:val="00F20827"/>
    <w:rsid w:val="00F20AD0"/>
    <w:rsid w:val="00F24E02"/>
    <w:rsid w:val="00F26C40"/>
    <w:rsid w:val="00F32C5A"/>
    <w:rsid w:val="00F378A9"/>
    <w:rsid w:val="00F5024D"/>
    <w:rsid w:val="00F875FC"/>
    <w:rsid w:val="00FA1801"/>
    <w:rsid w:val="00FA2371"/>
    <w:rsid w:val="00FB2C87"/>
    <w:rsid w:val="00FB4FBD"/>
    <w:rsid w:val="00FE45CB"/>
    <w:rsid w:val="00FE6CAE"/>
    <w:rsid w:val="00FE7518"/>
    <w:rsid w:val="00FF2C34"/>
    <w:rsid w:val="01BE203F"/>
    <w:rsid w:val="02B167E7"/>
    <w:rsid w:val="03325BDC"/>
    <w:rsid w:val="053B1E6D"/>
    <w:rsid w:val="053E3673"/>
    <w:rsid w:val="05E31965"/>
    <w:rsid w:val="06776244"/>
    <w:rsid w:val="067B1301"/>
    <w:rsid w:val="06B937CB"/>
    <w:rsid w:val="076426B1"/>
    <w:rsid w:val="0776685B"/>
    <w:rsid w:val="07B76200"/>
    <w:rsid w:val="085C5A9B"/>
    <w:rsid w:val="09194768"/>
    <w:rsid w:val="099E6CFD"/>
    <w:rsid w:val="09A36A58"/>
    <w:rsid w:val="0AF95025"/>
    <w:rsid w:val="0C5E65AF"/>
    <w:rsid w:val="0CD748A8"/>
    <w:rsid w:val="0D6E59B4"/>
    <w:rsid w:val="0F485ED3"/>
    <w:rsid w:val="10055ABE"/>
    <w:rsid w:val="103E2260"/>
    <w:rsid w:val="106025BC"/>
    <w:rsid w:val="11EA6E1C"/>
    <w:rsid w:val="11F8071E"/>
    <w:rsid w:val="1207491C"/>
    <w:rsid w:val="13E72489"/>
    <w:rsid w:val="14B35ABB"/>
    <w:rsid w:val="15386581"/>
    <w:rsid w:val="15D72AD9"/>
    <w:rsid w:val="175041D8"/>
    <w:rsid w:val="180E0DFA"/>
    <w:rsid w:val="1B1724BE"/>
    <w:rsid w:val="1D677603"/>
    <w:rsid w:val="1DF22D21"/>
    <w:rsid w:val="1FC548E6"/>
    <w:rsid w:val="1FE562AD"/>
    <w:rsid w:val="20216B61"/>
    <w:rsid w:val="20724CB1"/>
    <w:rsid w:val="20C008FC"/>
    <w:rsid w:val="22E56A2D"/>
    <w:rsid w:val="23511335"/>
    <w:rsid w:val="23D7109D"/>
    <w:rsid w:val="24233482"/>
    <w:rsid w:val="24A645D7"/>
    <w:rsid w:val="24C3077E"/>
    <w:rsid w:val="25DE65B0"/>
    <w:rsid w:val="263F0855"/>
    <w:rsid w:val="26664549"/>
    <w:rsid w:val="278B0AA3"/>
    <w:rsid w:val="27E54098"/>
    <w:rsid w:val="27FE11C2"/>
    <w:rsid w:val="284A28DF"/>
    <w:rsid w:val="28567D67"/>
    <w:rsid w:val="286B4EA2"/>
    <w:rsid w:val="28DB4B88"/>
    <w:rsid w:val="28E1459D"/>
    <w:rsid w:val="290D07C0"/>
    <w:rsid w:val="2AD8690F"/>
    <w:rsid w:val="2B3B769A"/>
    <w:rsid w:val="2C4722CC"/>
    <w:rsid w:val="2C5B7E06"/>
    <w:rsid w:val="2C6217F0"/>
    <w:rsid w:val="2DF017F0"/>
    <w:rsid w:val="2E3B530A"/>
    <w:rsid w:val="2EA46F3D"/>
    <w:rsid w:val="2EE20D08"/>
    <w:rsid w:val="2F0D702A"/>
    <w:rsid w:val="2F1E5B0F"/>
    <w:rsid w:val="2FCC20A2"/>
    <w:rsid w:val="2FD80CE4"/>
    <w:rsid w:val="30E73C14"/>
    <w:rsid w:val="318532E1"/>
    <w:rsid w:val="32683CD3"/>
    <w:rsid w:val="329D4DEB"/>
    <w:rsid w:val="33904994"/>
    <w:rsid w:val="361F37A7"/>
    <w:rsid w:val="39202F38"/>
    <w:rsid w:val="395B28E8"/>
    <w:rsid w:val="398421A0"/>
    <w:rsid w:val="39D21B68"/>
    <w:rsid w:val="3A0A5338"/>
    <w:rsid w:val="3A683229"/>
    <w:rsid w:val="3BDC0C60"/>
    <w:rsid w:val="3C456EA6"/>
    <w:rsid w:val="3C7B0E78"/>
    <w:rsid w:val="3D353BC3"/>
    <w:rsid w:val="3DAE163E"/>
    <w:rsid w:val="3E161EC1"/>
    <w:rsid w:val="3F1C4540"/>
    <w:rsid w:val="40141AB8"/>
    <w:rsid w:val="41986F7D"/>
    <w:rsid w:val="41A02B75"/>
    <w:rsid w:val="428132EB"/>
    <w:rsid w:val="42C32F37"/>
    <w:rsid w:val="431F7E04"/>
    <w:rsid w:val="432556B3"/>
    <w:rsid w:val="444D6F2C"/>
    <w:rsid w:val="44A01C33"/>
    <w:rsid w:val="44C272D0"/>
    <w:rsid w:val="44D13300"/>
    <w:rsid w:val="45FD2F49"/>
    <w:rsid w:val="463B482D"/>
    <w:rsid w:val="46D733A5"/>
    <w:rsid w:val="46EC280A"/>
    <w:rsid w:val="47A33BC9"/>
    <w:rsid w:val="488B6575"/>
    <w:rsid w:val="48EA4BC5"/>
    <w:rsid w:val="49D87317"/>
    <w:rsid w:val="4A22280F"/>
    <w:rsid w:val="4A7F0341"/>
    <w:rsid w:val="4AD67580"/>
    <w:rsid w:val="4C4766D7"/>
    <w:rsid w:val="4CDE625C"/>
    <w:rsid w:val="4D186266"/>
    <w:rsid w:val="4DFE1EB8"/>
    <w:rsid w:val="4E892F7F"/>
    <w:rsid w:val="502E74F4"/>
    <w:rsid w:val="514F1FC4"/>
    <w:rsid w:val="51E2609C"/>
    <w:rsid w:val="52511E65"/>
    <w:rsid w:val="529814C3"/>
    <w:rsid w:val="53990CF8"/>
    <w:rsid w:val="53A07FE6"/>
    <w:rsid w:val="53C24E0E"/>
    <w:rsid w:val="53E40019"/>
    <w:rsid w:val="53FA28D7"/>
    <w:rsid w:val="54151A75"/>
    <w:rsid w:val="54760DC1"/>
    <w:rsid w:val="54B21EB6"/>
    <w:rsid w:val="54B25989"/>
    <w:rsid w:val="55D76597"/>
    <w:rsid w:val="566F694F"/>
    <w:rsid w:val="567930B9"/>
    <w:rsid w:val="56980C87"/>
    <w:rsid w:val="56B33D15"/>
    <w:rsid w:val="56E04B20"/>
    <w:rsid w:val="576676CC"/>
    <w:rsid w:val="57CC6CFD"/>
    <w:rsid w:val="57E3278C"/>
    <w:rsid w:val="58BD389A"/>
    <w:rsid w:val="58DF27BC"/>
    <w:rsid w:val="58EC0FA3"/>
    <w:rsid w:val="59FD0CAD"/>
    <w:rsid w:val="5A582325"/>
    <w:rsid w:val="5A8B4D87"/>
    <w:rsid w:val="5ACE38AF"/>
    <w:rsid w:val="5B3A7367"/>
    <w:rsid w:val="5B6966C5"/>
    <w:rsid w:val="5B6E1D2D"/>
    <w:rsid w:val="5BFF3413"/>
    <w:rsid w:val="5C381E58"/>
    <w:rsid w:val="5CDF48A6"/>
    <w:rsid w:val="5E304AA3"/>
    <w:rsid w:val="5F874B39"/>
    <w:rsid w:val="605A6609"/>
    <w:rsid w:val="607A3E9C"/>
    <w:rsid w:val="6094523F"/>
    <w:rsid w:val="60F5240B"/>
    <w:rsid w:val="60FC7417"/>
    <w:rsid w:val="62F30F74"/>
    <w:rsid w:val="6426030F"/>
    <w:rsid w:val="656876B2"/>
    <w:rsid w:val="65B9440A"/>
    <w:rsid w:val="6691281C"/>
    <w:rsid w:val="669C2430"/>
    <w:rsid w:val="6A4F61A3"/>
    <w:rsid w:val="6AE93603"/>
    <w:rsid w:val="6B0D63BC"/>
    <w:rsid w:val="6B841098"/>
    <w:rsid w:val="6C0F62E3"/>
    <w:rsid w:val="6C1F3680"/>
    <w:rsid w:val="6C4159E6"/>
    <w:rsid w:val="6C727FF5"/>
    <w:rsid w:val="6C915CD1"/>
    <w:rsid w:val="6CE753FC"/>
    <w:rsid w:val="6E1B7563"/>
    <w:rsid w:val="6E4C7EA3"/>
    <w:rsid w:val="6F3036D5"/>
    <w:rsid w:val="6F4D52AA"/>
    <w:rsid w:val="6FED5CFF"/>
    <w:rsid w:val="70424146"/>
    <w:rsid w:val="720E4274"/>
    <w:rsid w:val="72B81F67"/>
    <w:rsid w:val="73BE01BD"/>
    <w:rsid w:val="76C1741D"/>
    <w:rsid w:val="77286561"/>
    <w:rsid w:val="77D74AE3"/>
    <w:rsid w:val="77F12579"/>
    <w:rsid w:val="788919FE"/>
    <w:rsid w:val="797A4679"/>
    <w:rsid w:val="7B4914DD"/>
    <w:rsid w:val="7D4B05D8"/>
    <w:rsid w:val="7DB953AD"/>
    <w:rsid w:val="7DD66734"/>
    <w:rsid w:val="7E1B288D"/>
    <w:rsid w:val="7EFA3B76"/>
    <w:rsid w:val="7F047AB4"/>
    <w:rsid w:val="7F461D1A"/>
    <w:rsid w:val="7FA85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autoSpaceDE w:val="0"/>
      <w:autoSpaceDN w:val="0"/>
      <w:spacing w:beforeLines="220" w:afterLines="70"/>
      <w:jc w:val="center"/>
      <w:outlineLvl w:val="0"/>
    </w:pPr>
    <w:rPr>
      <w:rFonts w:ascii="黑体" w:hAnsi="黑体" w:eastAsia="黑体"/>
      <w:sz w:val="36"/>
      <w:szCs w:val="36"/>
      <w:lang w:val="zh-CN"/>
    </w:rPr>
  </w:style>
  <w:style w:type="paragraph" w:styleId="3">
    <w:name w:val="heading 2"/>
    <w:basedOn w:val="1"/>
    <w:next w:val="1"/>
    <w:link w:val="24"/>
    <w:unhideWhenUsed/>
    <w:qFormat/>
    <w:uiPriority w:val="0"/>
    <w:pPr>
      <w:keepNext/>
      <w:keepLines/>
      <w:spacing w:before="260" w:after="260" w:line="416" w:lineRule="auto"/>
      <w:outlineLvl w:val="1"/>
    </w:pPr>
    <w:rPr>
      <w:rFonts w:ascii="等线 Light" w:hAnsi="等线 Light" w:eastAsia="等线 Light"/>
      <w:b/>
      <w:bCs/>
      <w:sz w:val="32"/>
      <w:szCs w:val="32"/>
      <w:lang w:val="zh-CN"/>
    </w:rPr>
  </w:style>
  <w:style w:type="paragraph" w:styleId="4">
    <w:name w:val="heading 3"/>
    <w:basedOn w:val="1"/>
    <w:next w:val="1"/>
    <w:link w:val="25"/>
    <w:unhideWhenUsed/>
    <w:qFormat/>
    <w:uiPriority w:val="0"/>
    <w:pPr>
      <w:keepNext/>
      <w:keepLines/>
      <w:spacing w:before="260" w:after="260" w:line="416" w:lineRule="auto"/>
      <w:outlineLvl w:val="2"/>
    </w:pPr>
    <w:rPr>
      <w:b/>
      <w:bCs/>
      <w:sz w:val="32"/>
      <w:szCs w:val="32"/>
      <w:lang w:val="zh-CN"/>
    </w:rPr>
  </w:style>
  <w:style w:type="character" w:default="1" w:styleId="14">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5">
    <w:name w:val="Document Map"/>
    <w:basedOn w:val="1"/>
    <w:link w:val="26"/>
    <w:qFormat/>
    <w:uiPriority w:val="0"/>
    <w:rPr>
      <w:rFonts w:ascii="宋体"/>
      <w:sz w:val="18"/>
      <w:szCs w:val="18"/>
      <w:lang w:val="zh-CN"/>
    </w:rPr>
  </w:style>
  <w:style w:type="paragraph" w:styleId="6">
    <w:name w:val="annotation text"/>
    <w:basedOn w:val="1"/>
    <w:link w:val="51"/>
    <w:unhideWhenUsed/>
    <w:qFormat/>
    <w:uiPriority w:val="0"/>
    <w:pPr>
      <w:jc w:val="left"/>
    </w:pPr>
    <w:rPr>
      <w:rFonts w:hint="eastAsia" w:eastAsia="仿宋_GB2312"/>
      <w:sz w:val="24"/>
    </w:rPr>
  </w:style>
  <w:style w:type="paragraph" w:styleId="7">
    <w:name w:val="Balloon Text"/>
    <w:basedOn w:val="1"/>
    <w:link w:val="19"/>
    <w:qFormat/>
    <w:uiPriority w:val="0"/>
    <w:rPr>
      <w:sz w:val="18"/>
      <w:szCs w:val="18"/>
      <w:lang w:val="zh-CN"/>
    </w:rPr>
  </w:style>
  <w:style w:type="paragraph" w:styleId="8">
    <w:name w:val="footer"/>
    <w:basedOn w:val="1"/>
    <w:qFormat/>
    <w:uiPriority w:val="0"/>
    <w:pPr>
      <w:tabs>
        <w:tab w:val="center" w:pos="4153"/>
        <w:tab w:val="right" w:pos="8306"/>
      </w:tabs>
      <w:snapToGrid w:val="0"/>
      <w:spacing w:line="460" w:lineRule="exact"/>
      <w:ind w:firstLine="200" w:firstLineChars="20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lang w:val="zh-CN"/>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11">
    <w:name w:val="annotation subject"/>
    <w:basedOn w:val="6"/>
    <w:next w:val="6"/>
    <w:link w:val="52"/>
    <w:qFormat/>
    <w:uiPriority w:val="0"/>
    <w:rPr>
      <w:rFonts w:hint="default" w:eastAsiaTheme="minorEastAsia"/>
      <w:b/>
      <w:bCs/>
      <w:sz w:val="21"/>
    </w:rPr>
  </w:style>
  <w:style w:type="table" w:styleId="13">
    <w:name w:val="Table Grid"/>
    <w:basedOn w:val="12"/>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22"/>
    <w:rPr>
      <w:b/>
      <w:bCs/>
    </w:rPr>
  </w:style>
  <w:style w:type="character" w:styleId="16">
    <w:name w:val="HTML Variable"/>
    <w:qFormat/>
    <w:uiPriority w:val="0"/>
    <w:rPr>
      <w:rFonts w:cs="Times New Roman"/>
    </w:rPr>
  </w:style>
  <w:style w:type="character" w:styleId="17">
    <w:name w:val="Hyperlink"/>
    <w:basedOn w:val="14"/>
    <w:unhideWhenUsed/>
    <w:qFormat/>
    <w:uiPriority w:val="99"/>
    <w:rPr>
      <w:color w:val="0000FF"/>
      <w:u w:val="single"/>
    </w:rPr>
  </w:style>
  <w:style w:type="character" w:styleId="18">
    <w:name w:val="annotation reference"/>
    <w:basedOn w:val="14"/>
    <w:qFormat/>
    <w:uiPriority w:val="0"/>
    <w:rPr>
      <w:sz w:val="21"/>
      <w:szCs w:val="21"/>
    </w:rPr>
  </w:style>
  <w:style w:type="character" w:customStyle="1" w:styleId="19">
    <w:name w:val="批注框文本 Char"/>
    <w:link w:val="7"/>
    <w:qFormat/>
    <w:uiPriority w:val="0"/>
    <w:rPr>
      <w:kern w:val="24"/>
      <w:sz w:val="18"/>
      <w:szCs w:val="18"/>
    </w:rPr>
  </w:style>
  <w:style w:type="character" w:customStyle="1" w:styleId="20">
    <w:name w:val="页眉 Char"/>
    <w:link w:val="9"/>
    <w:qFormat/>
    <w:uiPriority w:val="0"/>
    <w:rPr>
      <w:kern w:val="24"/>
      <w:sz w:val="18"/>
      <w:szCs w:val="18"/>
    </w:rPr>
  </w:style>
  <w:style w:type="character" w:customStyle="1" w:styleId="21">
    <w:name w:val="楷体_GB2312"/>
    <w:qFormat/>
    <w:uiPriority w:val="0"/>
    <w:rPr>
      <w:rFonts w:ascii="Times New Roman" w:hAnsi="Times New Roman" w:eastAsia="楷体_GB2312"/>
      <w:sz w:val="24"/>
      <w:szCs w:val="24"/>
    </w:rPr>
  </w:style>
  <w:style w:type="paragraph" w:customStyle="1" w:styleId="22">
    <w:name w:val="样式 楷体_GB2312 首行缩进:  2 字符"/>
    <w:basedOn w:val="1"/>
    <w:qFormat/>
    <w:uiPriority w:val="0"/>
    <w:rPr>
      <w:rFonts w:eastAsia="楷体_GB2312" w:cs="宋体"/>
    </w:rPr>
  </w:style>
  <w:style w:type="paragraph" w:customStyle="1" w:styleId="23">
    <w:name w:val="列出段落1"/>
    <w:basedOn w:val="1"/>
    <w:link w:val="42"/>
    <w:qFormat/>
    <w:uiPriority w:val="34"/>
    <w:pPr>
      <w:ind w:firstLine="420" w:firstLineChars="200"/>
    </w:pPr>
  </w:style>
  <w:style w:type="character" w:customStyle="1" w:styleId="24">
    <w:name w:val="标题 2 Char"/>
    <w:link w:val="3"/>
    <w:qFormat/>
    <w:uiPriority w:val="0"/>
    <w:rPr>
      <w:rFonts w:ascii="等线 Light" w:hAnsi="等线 Light" w:eastAsia="等线 Light" w:cs="Times New Roman"/>
      <w:b/>
      <w:bCs/>
      <w:kern w:val="24"/>
      <w:sz w:val="32"/>
      <w:szCs w:val="32"/>
    </w:rPr>
  </w:style>
  <w:style w:type="character" w:customStyle="1" w:styleId="25">
    <w:name w:val="标题 3 Char"/>
    <w:link w:val="4"/>
    <w:qFormat/>
    <w:uiPriority w:val="9"/>
    <w:rPr>
      <w:b/>
      <w:bCs/>
      <w:kern w:val="24"/>
      <w:sz w:val="32"/>
      <w:szCs w:val="32"/>
    </w:rPr>
  </w:style>
  <w:style w:type="character" w:customStyle="1" w:styleId="26">
    <w:name w:val="文档结构图 Char"/>
    <w:link w:val="5"/>
    <w:qFormat/>
    <w:uiPriority w:val="0"/>
    <w:rPr>
      <w:rFonts w:ascii="宋体"/>
      <w:kern w:val="24"/>
      <w:sz w:val="18"/>
      <w:szCs w:val="18"/>
    </w:rPr>
  </w:style>
  <w:style w:type="character" w:customStyle="1" w:styleId="27">
    <w:name w:val="标题 1 Char"/>
    <w:link w:val="2"/>
    <w:qFormat/>
    <w:locked/>
    <w:uiPriority w:val="0"/>
    <w:rPr>
      <w:rFonts w:ascii="黑体" w:hAnsi="黑体" w:eastAsia="黑体"/>
      <w:kern w:val="24"/>
      <w:sz w:val="36"/>
      <w:szCs w:val="36"/>
    </w:rPr>
  </w:style>
  <w:style w:type="paragraph" w:customStyle="1" w:styleId="28">
    <w:name w:val="4.1 XX优惠"/>
    <w:basedOn w:val="3"/>
    <w:link w:val="29"/>
    <w:qFormat/>
    <w:uiPriority w:val="0"/>
    <w:pPr>
      <w:spacing w:before="660" w:line="240" w:lineRule="auto"/>
    </w:pPr>
    <w:rPr>
      <w:rFonts w:ascii="Arial" w:hAnsi="Arial" w:eastAsia="黑体"/>
    </w:rPr>
  </w:style>
  <w:style w:type="character" w:customStyle="1" w:styleId="29">
    <w:name w:val="4.1 XX优惠 字符"/>
    <w:link w:val="28"/>
    <w:qFormat/>
    <w:uiPriority w:val="0"/>
    <w:rPr>
      <w:rFonts w:ascii="Arial" w:hAnsi="Arial" w:eastAsia="黑体"/>
      <w:b/>
      <w:bCs/>
      <w:kern w:val="24"/>
      <w:sz w:val="32"/>
      <w:szCs w:val="32"/>
    </w:rPr>
  </w:style>
  <w:style w:type="paragraph" w:customStyle="1" w:styleId="30">
    <w:name w:val="5.1证明"/>
    <w:basedOn w:val="28"/>
    <w:link w:val="32"/>
    <w:qFormat/>
    <w:uiPriority w:val="0"/>
  </w:style>
  <w:style w:type="paragraph" w:customStyle="1" w:styleId="31">
    <w:name w:val="4.1.1 XX优惠"/>
    <w:basedOn w:val="4"/>
    <w:link w:val="33"/>
    <w:qFormat/>
    <w:uiPriority w:val="0"/>
    <w:pPr>
      <w:keepLines w:val="0"/>
      <w:snapToGrid w:val="0"/>
      <w:spacing w:before="0" w:afterLines="125" w:line="240" w:lineRule="auto"/>
    </w:pPr>
    <w:rPr>
      <w:rFonts w:ascii="Times New Roman" w:hAnsi="Times New Roman" w:eastAsia="黑体"/>
      <w:sz w:val="28"/>
      <w:szCs w:val="28"/>
    </w:rPr>
  </w:style>
  <w:style w:type="character" w:customStyle="1" w:styleId="32">
    <w:name w:val="5.1证明 字符"/>
    <w:basedOn w:val="29"/>
    <w:link w:val="30"/>
    <w:qFormat/>
    <w:uiPriority w:val="0"/>
    <w:rPr>
      <w:rFonts w:ascii="Arial" w:hAnsi="Arial" w:eastAsia="黑体"/>
      <w:kern w:val="24"/>
      <w:sz w:val="32"/>
      <w:szCs w:val="32"/>
    </w:rPr>
  </w:style>
  <w:style w:type="character" w:customStyle="1" w:styleId="33">
    <w:name w:val="4.1.1 XX优惠 字符"/>
    <w:link w:val="31"/>
    <w:qFormat/>
    <w:uiPriority w:val="0"/>
    <w:rPr>
      <w:rFonts w:ascii="Times New Roman" w:hAnsi="Times New Roman" w:eastAsia="黑体"/>
      <w:b/>
      <w:bCs/>
      <w:kern w:val="24"/>
      <w:sz w:val="28"/>
      <w:szCs w:val="28"/>
    </w:rPr>
  </w:style>
  <w:style w:type="paragraph" w:customStyle="1" w:styleId="34">
    <w:name w:val="5.1.1 完税"/>
    <w:basedOn w:val="31"/>
    <w:link w:val="36"/>
    <w:qFormat/>
    <w:uiPriority w:val="0"/>
  </w:style>
  <w:style w:type="paragraph" w:customStyle="1" w:styleId="35">
    <w:name w:val="标签"/>
    <w:basedOn w:val="1"/>
    <w:link w:val="37"/>
    <w:qFormat/>
    <w:uiPriority w:val="0"/>
    <w:pPr>
      <w:numPr>
        <w:ilvl w:val="0"/>
        <w:numId w:val="1"/>
      </w:numPr>
      <w:ind w:left="930"/>
    </w:pPr>
    <w:rPr>
      <w:rFonts w:ascii="Times New Roman" w:hAnsi="Times New Roman"/>
      <w:lang w:val="zh-CN"/>
    </w:rPr>
  </w:style>
  <w:style w:type="character" w:customStyle="1" w:styleId="36">
    <w:name w:val="5.1.1 完税 字符"/>
    <w:basedOn w:val="33"/>
    <w:link w:val="34"/>
    <w:qFormat/>
    <w:uiPriority w:val="0"/>
    <w:rPr>
      <w:rFonts w:ascii="Times New Roman" w:hAnsi="Times New Roman" w:eastAsia="黑体"/>
      <w:kern w:val="24"/>
      <w:sz w:val="28"/>
      <w:szCs w:val="28"/>
    </w:rPr>
  </w:style>
  <w:style w:type="character" w:customStyle="1" w:styleId="37">
    <w:name w:val="标签 字符"/>
    <w:link w:val="35"/>
    <w:qFormat/>
    <w:uiPriority w:val="0"/>
    <w:rPr>
      <w:rFonts w:ascii="Times New Roman" w:hAnsi="Times New Roman"/>
      <w:kern w:val="24"/>
      <w:sz w:val="24"/>
      <w:szCs w:val="24"/>
    </w:rPr>
  </w:style>
  <w:style w:type="paragraph" w:customStyle="1" w:styleId="38">
    <w:name w:val="【事项描】"/>
    <w:basedOn w:val="1"/>
    <w:link w:val="39"/>
    <w:qFormat/>
    <w:uiPriority w:val="0"/>
    <w:pPr>
      <w:snapToGrid w:val="0"/>
      <w:spacing w:line="360" w:lineRule="auto"/>
      <w:ind w:firstLine="482" w:firstLineChars="200"/>
    </w:pPr>
    <w:rPr>
      <w:rFonts w:ascii="宋体" w:hAnsi="宋体"/>
      <w:b/>
      <w:lang w:val="zh-CN"/>
    </w:rPr>
  </w:style>
  <w:style w:type="character" w:customStyle="1" w:styleId="39">
    <w:name w:val="【事项描】 字符"/>
    <w:link w:val="38"/>
    <w:qFormat/>
    <w:uiPriority w:val="0"/>
    <w:rPr>
      <w:rFonts w:ascii="宋体" w:hAnsi="宋体"/>
      <w:b/>
      <w:kern w:val="2"/>
      <w:sz w:val="24"/>
      <w:szCs w:val="24"/>
    </w:rPr>
  </w:style>
  <w:style w:type="paragraph" w:customStyle="1" w:styleId="40">
    <w:name w:val="正文正文"/>
    <w:basedOn w:val="1"/>
    <w:link w:val="41"/>
    <w:qFormat/>
    <w:uiPriority w:val="0"/>
    <w:pPr>
      <w:snapToGrid w:val="0"/>
      <w:spacing w:line="360" w:lineRule="auto"/>
      <w:ind w:firstLine="480" w:firstLineChars="200"/>
    </w:pPr>
    <w:rPr>
      <w:rFonts w:ascii="宋体" w:hAnsi="宋体"/>
      <w:lang w:val="zh-CN"/>
    </w:rPr>
  </w:style>
  <w:style w:type="character" w:customStyle="1" w:styleId="41">
    <w:name w:val="正文正文 字符"/>
    <w:link w:val="40"/>
    <w:qFormat/>
    <w:uiPriority w:val="0"/>
    <w:rPr>
      <w:rFonts w:ascii="宋体" w:hAnsi="宋体"/>
      <w:kern w:val="2"/>
      <w:sz w:val="24"/>
      <w:szCs w:val="24"/>
    </w:rPr>
  </w:style>
  <w:style w:type="character" w:customStyle="1" w:styleId="42">
    <w:name w:val="列表段落 字符"/>
    <w:basedOn w:val="14"/>
    <w:link w:val="23"/>
    <w:qFormat/>
    <w:uiPriority w:val="34"/>
    <w:rPr>
      <w:kern w:val="2"/>
      <w:sz w:val="21"/>
      <w:szCs w:val="22"/>
    </w:rPr>
  </w:style>
  <w:style w:type="paragraph" w:customStyle="1" w:styleId="43">
    <w:name w:val="标签标签"/>
    <w:basedOn w:val="44"/>
    <w:link w:val="45"/>
    <w:qFormat/>
    <w:uiPriority w:val="0"/>
    <w:pPr>
      <w:numPr>
        <w:ilvl w:val="0"/>
        <w:numId w:val="2"/>
      </w:numPr>
      <w:snapToGrid w:val="0"/>
      <w:spacing w:beforeLines="25" w:afterLines="25" w:line="360" w:lineRule="auto"/>
      <w:ind w:left="0" w:firstLine="480"/>
    </w:pPr>
    <w:rPr>
      <w:rFonts w:ascii="黑体" w:hAnsi="黑体" w:eastAsia="黑体"/>
    </w:rPr>
  </w:style>
  <w:style w:type="paragraph" w:customStyle="1" w:styleId="44">
    <w:name w:val="List Paragraph"/>
    <w:basedOn w:val="1"/>
    <w:qFormat/>
    <w:uiPriority w:val="34"/>
    <w:pPr>
      <w:ind w:firstLine="420" w:firstLineChars="200"/>
    </w:pPr>
  </w:style>
  <w:style w:type="character" w:customStyle="1" w:styleId="45">
    <w:name w:val="标签标签 字符"/>
    <w:basedOn w:val="42"/>
    <w:link w:val="43"/>
    <w:qFormat/>
    <w:uiPriority w:val="0"/>
    <w:rPr>
      <w:rFonts w:ascii="黑体" w:hAnsi="黑体" w:eastAsia="黑体"/>
      <w:kern w:val="24"/>
      <w:sz w:val="24"/>
      <w:szCs w:val="24"/>
    </w:rPr>
  </w:style>
  <w:style w:type="paragraph" w:customStyle="1" w:styleId="46">
    <w:name w:val="样式1【标准】"/>
    <w:basedOn w:val="2"/>
    <w:link w:val="47"/>
    <w:qFormat/>
    <w:uiPriority w:val="0"/>
    <w:pPr>
      <w:keepNext/>
      <w:keepLines/>
      <w:tabs>
        <w:tab w:val="center" w:pos="4153"/>
        <w:tab w:val="left" w:pos="6771"/>
      </w:tabs>
      <w:topLinePunct/>
      <w:adjustRightInd w:val="0"/>
      <w:spacing w:beforeLines="100" w:afterLines="100" w:line="360" w:lineRule="auto"/>
      <w:ind w:firstLine="723" w:firstLineChars="200"/>
    </w:pPr>
    <w:rPr>
      <w:rFonts w:ascii="Times New Roman" w:hAnsi="Times New Roman" w:cs="Times New Roman"/>
      <w:b/>
      <w:kern w:val="24"/>
      <w:lang w:val="en-US"/>
    </w:rPr>
  </w:style>
  <w:style w:type="character" w:customStyle="1" w:styleId="47">
    <w:name w:val="样式1【标准】 字符"/>
    <w:basedOn w:val="27"/>
    <w:link w:val="46"/>
    <w:qFormat/>
    <w:uiPriority w:val="0"/>
    <w:rPr>
      <w:rFonts w:ascii="Times New Roman" w:hAnsi="Times New Roman" w:eastAsia="黑体" w:cs="Times New Roman"/>
      <w:b/>
      <w:kern w:val="24"/>
      <w:sz w:val="36"/>
      <w:szCs w:val="36"/>
    </w:rPr>
  </w:style>
  <w:style w:type="paragraph" w:customStyle="1" w:styleId="48">
    <w:name w:val="二级标题"/>
    <w:basedOn w:val="3"/>
    <w:link w:val="49"/>
    <w:qFormat/>
    <w:uiPriority w:val="0"/>
    <w:pPr>
      <w:spacing w:beforeLines="150" w:afterLines="150" w:line="360" w:lineRule="auto"/>
      <w:ind w:firstLine="643" w:firstLineChars="200"/>
    </w:pPr>
    <w:rPr>
      <w:rFonts w:ascii="Times New Roman" w:hAnsi="Times New Roman" w:eastAsia="黑体" w:cs="Times New Roman"/>
      <w:lang w:val="en-US"/>
    </w:rPr>
  </w:style>
  <w:style w:type="character" w:customStyle="1" w:styleId="49">
    <w:name w:val="二级标题 字符"/>
    <w:basedOn w:val="14"/>
    <w:link w:val="48"/>
    <w:qFormat/>
    <w:uiPriority w:val="0"/>
    <w:rPr>
      <w:rFonts w:ascii="Times New Roman" w:hAnsi="Times New Roman" w:eastAsia="黑体" w:cs="Times New Roman"/>
      <w:b/>
      <w:bCs/>
      <w:kern w:val="2"/>
      <w:sz w:val="32"/>
      <w:szCs w:val="32"/>
    </w:rPr>
  </w:style>
  <w:style w:type="table" w:customStyle="1" w:styleId="50">
    <w:name w:val="样式2"/>
    <w:basedOn w:val="12"/>
    <w:qFormat/>
    <w:uiPriority w:val="99"/>
    <w:rPr>
      <w:kern w:val="2"/>
      <w:sz w:val="21"/>
      <w:szCs w:val="22"/>
    </w:rPr>
    <w:tblPr>
      <w:tblCellMar>
        <w:top w:w="0" w:type="dxa"/>
        <w:left w:w="108" w:type="dxa"/>
        <w:bottom w:w="0" w:type="dxa"/>
        <w:right w:w="108" w:type="dxa"/>
      </w:tblCellMar>
    </w:tblPr>
  </w:style>
  <w:style w:type="character" w:customStyle="1" w:styleId="51">
    <w:name w:val="批注文字 Char"/>
    <w:basedOn w:val="14"/>
    <w:link w:val="6"/>
    <w:qFormat/>
    <w:uiPriority w:val="0"/>
    <w:rPr>
      <w:rFonts w:eastAsia="仿宋_GB2312"/>
      <w:kern w:val="2"/>
      <w:sz w:val="24"/>
      <w:szCs w:val="22"/>
    </w:rPr>
  </w:style>
  <w:style w:type="character" w:customStyle="1" w:styleId="52">
    <w:name w:val="批注主题 Char"/>
    <w:basedOn w:val="51"/>
    <w:link w:val="11"/>
    <w:qFormat/>
    <w:uiPriority w:val="0"/>
    <w:rPr>
      <w:rFonts w:eastAsia="仿宋_GB2312"/>
      <w:b/>
      <w:bCs/>
      <w:kern w:val="2"/>
      <w:sz w:val="21"/>
      <w:szCs w:val="22"/>
    </w:rPr>
  </w:style>
  <w:style w:type="paragraph" w:customStyle="1" w:styleId="53">
    <w:name w:val="材料 表头"/>
    <w:basedOn w:val="54"/>
    <w:qFormat/>
    <w:uiPriority w:val="0"/>
  </w:style>
  <w:style w:type="paragraph" w:customStyle="1" w:styleId="54">
    <w:name w:val="政策 表头"/>
    <w:basedOn w:val="1"/>
    <w:qFormat/>
    <w:uiPriority w:val="0"/>
    <w:pPr>
      <w:ind w:firstLine="0" w:firstLineChars="0"/>
      <w:jc w:val="center"/>
    </w:pPr>
    <w:rPr>
      <w:rFonts w:ascii="黑体" w:hAnsi="黑体" w:eastAsia="黑体"/>
      <w:sz w:val="21"/>
      <w:szCs w:val="21"/>
      <w:lang w:val="zh-CN"/>
    </w:rPr>
  </w:style>
  <w:style w:type="paragraph" w:customStyle="1" w:styleId="55">
    <w:name w:val="材料 文本"/>
    <w:basedOn w:val="1"/>
    <w:qFormat/>
    <w:uiPriority w:val="0"/>
    <w:pPr>
      <w:ind w:firstLine="0" w:firstLineChars="0"/>
      <w:jc w:val="center"/>
    </w:pPr>
    <w:rPr>
      <w:rFonts w:ascii="黑体" w:hAnsi="黑体" w:eastAsia="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530973-B2B4-4187-B718-D515DD3E6FBA}">
  <ds:schemaRefs/>
</ds:datastoreItem>
</file>

<file path=docProps/app.xml><?xml version="1.0" encoding="utf-8"?>
<Properties xmlns="http://schemas.openxmlformats.org/officeDocument/2006/extended-properties" xmlns:vt="http://schemas.openxmlformats.org/officeDocument/2006/docPropsVTypes">
  <Template>Normal</Template>
  <Company> </Company>
  <Pages>9</Pages>
  <Words>3102</Words>
  <Characters>3189</Characters>
  <Lines>30</Lines>
  <Paragraphs>8</Paragraphs>
  <TotalTime>1</TotalTime>
  <ScaleCrop>false</ScaleCrop>
  <LinksUpToDate>false</LinksUpToDate>
  <CharactersWithSpaces>3194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2019-07-03T19:47:00Z</dcterms:created>
  <dc:creator>鲍倩钰</dc:creator>
  <cp:lastModifiedBy>稳稳的幸福</cp:lastModifiedBy>
  <dcterms:modified xsi:type="dcterms:W3CDTF">2019-10-31T05:29:36Z</dcterms:modified>
  <dc:title>5 证明办理规范</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