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bookmarkStart w:id="0" w:name="_GoBack"/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附件</w:t>
      </w:r>
      <w:r>
        <w:rPr>
          <w:rFonts w:ascii="宋体" w:eastAsia="宋体" w:cs="宋体"/>
          <w:kern w:val="0"/>
          <w:sz w:val="23"/>
          <w:szCs w:val="23"/>
          <w:lang w:val="zh-CN"/>
        </w:rPr>
        <w:t>1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：国务院确定的</w:t>
      </w:r>
      <w:r>
        <w:rPr>
          <w:rFonts w:ascii="宋体" w:eastAsia="宋体" w:cs="宋体"/>
          <w:kern w:val="0"/>
          <w:sz w:val="23"/>
          <w:szCs w:val="23"/>
          <w:lang w:val="zh-CN"/>
        </w:rPr>
        <w:t>16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个重大技术装备关键领域</w:t>
      </w:r>
    </w:p>
    <w:bookmarkEnd w:id="0"/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一、大型清洁高效发电装备：百万千瓦核电机组、超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超</w:t>
      </w:r>
      <w:proofErr w:type="gramEnd"/>
      <w:r>
        <w:rPr>
          <w:rFonts w:ascii="宋体" w:eastAsia="宋体" w:cs="宋体" w:hint="eastAsia"/>
          <w:kern w:val="0"/>
          <w:sz w:val="23"/>
          <w:szCs w:val="23"/>
          <w:lang w:val="zh-CN"/>
        </w:rPr>
        <w:t>临界火电机组、燃气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一</w:t>
      </w:r>
      <w:proofErr w:type="gramEnd"/>
      <w:r>
        <w:rPr>
          <w:rFonts w:ascii="宋体" w:eastAsia="宋体" w:cs="宋体" w:hint="eastAsia"/>
          <w:kern w:val="0"/>
          <w:sz w:val="23"/>
          <w:szCs w:val="23"/>
          <w:lang w:val="zh-CN"/>
        </w:rPr>
        <w:t>蒸汽联合循环机组、整体煤气化燃气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一</w:t>
      </w:r>
      <w:proofErr w:type="gramEnd"/>
      <w:r>
        <w:rPr>
          <w:rFonts w:ascii="宋体" w:eastAsia="宋体" w:cs="宋体" w:hint="eastAsia"/>
          <w:kern w:val="0"/>
          <w:sz w:val="23"/>
          <w:szCs w:val="23"/>
          <w:lang w:val="zh-CN"/>
        </w:rPr>
        <w:t>蒸汽联合循环机组、大型循环流化床锅炉、大型水电机组及抽水蓄能水电站机组、大型空冷电站机组及大功率风力发电机等新能源装备。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二、特高压输变电设备：</w:t>
      </w:r>
      <w:r>
        <w:rPr>
          <w:rFonts w:ascii="宋体" w:eastAsia="宋体" w:cs="宋体"/>
          <w:kern w:val="0"/>
          <w:sz w:val="23"/>
          <w:szCs w:val="23"/>
          <w:lang w:val="zh-CN"/>
        </w:rPr>
        <w:t>1 000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千伏特高压交流和±</w:t>
      </w:r>
      <w:r>
        <w:rPr>
          <w:rFonts w:ascii="宋体" w:eastAsia="宋体" w:cs="宋体"/>
          <w:kern w:val="0"/>
          <w:sz w:val="23"/>
          <w:szCs w:val="23"/>
          <w:lang w:val="zh-CN"/>
        </w:rPr>
        <w:t>800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千伏直流输变电成套设备，</w:t>
      </w:r>
      <w:r>
        <w:rPr>
          <w:rFonts w:ascii="宋体" w:eastAsia="宋体" w:cs="宋体"/>
          <w:kern w:val="0"/>
          <w:sz w:val="23"/>
          <w:szCs w:val="23"/>
          <w:lang w:val="zh-CN"/>
        </w:rPr>
        <w:t>500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千伏交直流和</w:t>
      </w:r>
      <w:proofErr w:type="gramEnd"/>
      <w:r>
        <w:rPr>
          <w:rFonts w:ascii="宋体" w:eastAsia="宋体" w:cs="宋体"/>
          <w:kern w:val="0"/>
          <w:sz w:val="23"/>
          <w:szCs w:val="23"/>
          <w:lang w:val="zh-CN"/>
        </w:rPr>
        <w:t>750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千伏交流输变电关键设备。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三、大型石化设备：百万吨级大型成套设备和对二甲苯（</w:t>
      </w:r>
      <w:r>
        <w:rPr>
          <w:rFonts w:ascii="宋体" w:eastAsia="宋体" w:cs="宋体"/>
          <w:kern w:val="0"/>
          <w:sz w:val="23"/>
          <w:szCs w:val="23"/>
          <w:lang w:val="zh-CN"/>
        </w:rPr>
        <w:t>Px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）、对苯二甲酸（</w:t>
      </w:r>
      <w:r>
        <w:rPr>
          <w:rFonts w:ascii="宋体" w:eastAsia="宋体" w:cs="宋体"/>
          <w:kern w:val="0"/>
          <w:sz w:val="23"/>
          <w:szCs w:val="23"/>
          <w:lang w:val="zh-CN"/>
        </w:rPr>
        <w:t>PTA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）、聚脂成套设备。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四、大型煤化工成套设备。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五、大型薄板冷热连轧成套设备及涂镀层加工成套设备。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六、大型煤炭井下综合采掘、提升和洗选设备以及大型露天矿设备。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七、大型船舶、海洋工程设备：大型海洋石油工程装备、</w:t>
      </w:r>
      <w:r>
        <w:rPr>
          <w:rFonts w:ascii="宋体" w:eastAsia="宋体" w:cs="宋体"/>
          <w:kern w:val="0"/>
          <w:sz w:val="23"/>
          <w:szCs w:val="23"/>
          <w:lang w:val="zh-CN"/>
        </w:rPr>
        <w:t>30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万吨矿石和原油运输船、海上浮动生产储油轮（</w:t>
      </w:r>
      <w:r>
        <w:rPr>
          <w:rFonts w:ascii="宋体" w:eastAsia="宋体" w:cs="宋体"/>
          <w:kern w:val="0"/>
          <w:sz w:val="23"/>
          <w:szCs w:val="23"/>
          <w:lang w:val="zh-CN"/>
        </w:rPr>
        <w:t>FPSO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）、</w:t>
      </w:r>
      <w:r>
        <w:rPr>
          <w:rFonts w:ascii="宋体" w:eastAsia="宋体" w:cs="宋体"/>
          <w:kern w:val="0"/>
          <w:sz w:val="23"/>
          <w:szCs w:val="23"/>
          <w:lang w:val="zh-CN"/>
        </w:rPr>
        <w:t>10000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箱以上集装箱船、</w:t>
      </w:r>
      <w:r>
        <w:rPr>
          <w:rFonts w:ascii="宋体" w:eastAsia="宋体" w:cs="宋体"/>
          <w:kern w:val="0"/>
          <w:sz w:val="23"/>
          <w:szCs w:val="23"/>
          <w:lang w:val="zh-CN"/>
        </w:rPr>
        <w:t>LNG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运输船等大型高技术、高附加值船舶及大功率柴油机等配套设备。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八、轨道交通设备：</w:t>
      </w:r>
      <w:r>
        <w:rPr>
          <w:rFonts w:ascii="宋体" w:eastAsia="宋体" w:cs="宋体"/>
          <w:kern w:val="0"/>
          <w:sz w:val="23"/>
          <w:szCs w:val="23"/>
          <w:lang w:val="zh-CN"/>
        </w:rPr>
        <w:t>200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公里以上高速列车、新型地铁车辆。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九、大型环保及资源综合利用设备：大气治理设备、城市及工业污水处理设备、固体废弃物处理设备等大型环保设备以及海水淡化、报废汽车处理等资源综合利用设备。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十、大型施工机械：大断面岩石掘进机等。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十一、重大工程自动化控制系统和关键精密测试仪器。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十二、大型、精密、高速数控设备和数控系统及功能部件。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十三、新型纺织机械：日产</w:t>
      </w:r>
      <w:r>
        <w:rPr>
          <w:rFonts w:ascii="宋体" w:eastAsia="宋体" w:cs="宋体"/>
          <w:kern w:val="0"/>
          <w:sz w:val="23"/>
          <w:szCs w:val="23"/>
          <w:lang w:val="zh-CN"/>
        </w:rPr>
        <w:t>200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吨以上涤纶短纤维成套设备、高速粘胶长丝连续纺丝机、高效现代化成套棉纺设备、机电一体化剑杆织机和喷气织机等。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十四、新型、大马力农业装备：大马力拖拉机、半喂入水稻联合收割机、玉米联合收割机、采棉机等。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十五、集成电路关键设备、新型平板显示器件生产设备、电子元器件生产设备、无铅工艺的整机联装设备、数字化医疗影像设备、生物工程和医疗生产专用设备。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十六、民用飞机及发动机、机载设备。</w:t>
      </w:r>
    </w:p>
    <w:p w:rsidR="005C385B" w:rsidRDefault="005C385B" w:rsidP="005C38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CC1B22" w:rsidRDefault="00CC1B22">
      <w:pPr>
        <w:rPr>
          <w:rFonts w:hint="eastAsia"/>
        </w:rPr>
      </w:pPr>
    </w:p>
    <w:sectPr w:rsidR="00CC1B22" w:rsidSect="008F0F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F"/>
    <w:rsid w:val="005C385B"/>
    <w:rsid w:val="009564DF"/>
    <w:rsid w:val="00C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ZGHB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2013-03-07T00:40:00Z</dcterms:created>
  <dcterms:modified xsi:type="dcterms:W3CDTF">2013-03-07T00:41:00Z</dcterms:modified>
</cp:coreProperties>
</file>