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BD" w:rsidRDefault="006C1AAE" w:rsidP="006C1AAE">
      <w:pPr>
        <w:pStyle w:val="1"/>
        <w:jc w:val="center"/>
      </w:pPr>
      <w:proofErr w:type="gramStart"/>
      <w:r w:rsidRPr="006C1AAE">
        <w:rPr>
          <w:rFonts w:hint="eastAsia"/>
        </w:rPr>
        <w:t>网报系统</w:t>
      </w:r>
      <w:proofErr w:type="gramEnd"/>
      <w:r w:rsidRPr="006C1AAE">
        <w:rPr>
          <w:rFonts w:hint="eastAsia"/>
        </w:rPr>
        <w:t>运</w:t>
      </w:r>
      <w:proofErr w:type="gramStart"/>
      <w:r w:rsidRPr="006C1AAE">
        <w:rPr>
          <w:rFonts w:hint="eastAsia"/>
        </w:rPr>
        <w:t>维情况</w:t>
      </w:r>
      <w:proofErr w:type="gramEnd"/>
      <w:r w:rsidRPr="006C1AAE">
        <w:rPr>
          <w:rFonts w:hint="eastAsia"/>
        </w:rPr>
        <w:t>总结</w:t>
      </w:r>
    </w:p>
    <w:p w:rsidR="006C1AAE" w:rsidRDefault="006C1AAE" w:rsidP="006C1AAE">
      <w:pPr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（2013年</w:t>
      </w:r>
      <w:r w:rsidR="00306C6E">
        <w:rPr>
          <w:rFonts w:ascii="仿宋_GB2312" w:eastAsia="仿宋_GB2312" w:hAnsiTheme="majorEastAsia" w:hint="eastAsia"/>
          <w:sz w:val="32"/>
          <w:szCs w:val="32"/>
        </w:rPr>
        <w:t>2</w:t>
      </w:r>
      <w:r>
        <w:rPr>
          <w:rFonts w:ascii="仿宋_GB2312" w:eastAsia="仿宋_GB2312" w:hAnsiTheme="majorEastAsia" w:hint="eastAsia"/>
          <w:sz w:val="32"/>
          <w:szCs w:val="32"/>
        </w:rPr>
        <w:t>月）</w:t>
      </w:r>
    </w:p>
    <w:p w:rsidR="006C1AAE" w:rsidRDefault="006C1AAE" w:rsidP="006C1AAE">
      <w:pPr>
        <w:pStyle w:val="2"/>
        <w:numPr>
          <w:ilvl w:val="0"/>
          <w:numId w:val="2"/>
        </w:numPr>
      </w:pPr>
      <w:r w:rsidRPr="006C1AAE">
        <w:rPr>
          <w:rFonts w:hint="eastAsia"/>
        </w:rPr>
        <w:t>电话受理情况</w:t>
      </w:r>
    </w:p>
    <w:p w:rsidR="006C1AAE" w:rsidRDefault="006C1AAE" w:rsidP="006C1AAE">
      <w:pPr>
        <w:spacing w:line="360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3508">
        <w:rPr>
          <w:rFonts w:ascii="仿宋_GB2312" w:eastAsia="仿宋_GB2312" w:hAnsi="宋体" w:hint="eastAsia"/>
          <w:sz w:val="32"/>
        </w:rPr>
        <w:t>本月共接听</w:t>
      </w:r>
      <w:proofErr w:type="gramStart"/>
      <w:r w:rsidRPr="00AF3508">
        <w:rPr>
          <w:rFonts w:ascii="仿宋_GB2312" w:eastAsia="仿宋_GB2312" w:hAnsi="宋体" w:hint="eastAsia"/>
          <w:sz w:val="32"/>
        </w:rPr>
        <w:t>各地</w:t>
      </w:r>
      <w:r>
        <w:rPr>
          <w:rFonts w:ascii="仿宋_GB2312" w:eastAsia="仿宋_GB2312" w:hAnsi="宋体" w:hint="eastAsia"/>
          <w:sz w:val="32"/>
        </w:rPr>
        <w:t>网报</w:t>
      </w:r>
      <w:r w:rsidRPr="00AF3508">
        <w:rPr>
          <w:rFonts w:ascii="仿宋_GB2312" w:eastAsia="仿宋_GB2312" w:hAnsi="宋体" w:hint="eastAsia"/>
          <w:sz w:val="32"/>
        </w:rPr>
        <w:t>系统</w:t>
      </w:r>
      <w:proofErr w:type="gramEnd"/>
      <w:r w:rsidRPr="00AF3508">
        <w:rPr>
          <w:rFonts w:ascii="仿宋_GB2312" w:eastAsia="仿宋_GB2312" w:hAnsi="宋体" w:hint="eastAsia"/>
          <w:sz w:val="32"/>
        </w:rPr>
        <w:t>咨询电话</w:t>
      </w:r>
      <w:r>
        <w:rPr>
          <w:rFonts w:ascii="仿宋_GB2312" w:eastAsia="仿宋_GB2312" w:hAnsi="宋体" w:hint="eastAsia"/>
          <w:sz w:val="32"/>
        </w:rPr>
        <w:t>290</w:t>
      </w:r>
      <w:r w:rsidRPr="00AF3508">
        <w:rPr>
          <w:rFonts w:ascii="仿宋_GB2312" w:eastAsia="仿宋_GB2312" w:hAnsi="宋体" w:hint="eastAsia"/>
          <w:sz w:val="32"/>
        </w:rPr>
        <w:t>个，平均每日接听电话</w:t>
      </w:r>
      <w:r>
        <w:rPr>
          <w:rFonts w:ascii="仿宋_GB2312" w:eastAsia="仿宋_GB2312" w:hAnsi="宋体" w:hint="eastAsia"/>
          <w:sz w:val="32"/>
        </w:rPr>
        <w:t>17</w:t>
      </w:r>
      <w:r w:rsidRPr="00AF3508">
        <w:rPr>
          <w:rFonts w:ascii="仿宋_GB2312" w:eastAsia="仿宋_GB2312" w:hAnsi="宋体" w:hint="eastAsia"/>
          <w:sz w:val="32"/>
        </w:rPr>
        <w:t>个，</w:t>
      </w:r>
      <w:r>
        <w:rPr>
          <w:rFonts w:ascii="仿宋_GB2312" w:eastAsia="仿宋_GB2312" w:hAnsi="华文仿宋" w:hint="eastAsia"/>
          <w:sz w:val="32"/>
          <w:szCs w:val="32"/>
        </w:rPr>
        <w:t>处理</w:t>
      </w:r>
      <w:r w:rsidRPr="00037607">
        <w:rPr>
          <w:rFonts w:ascii="仿宋_GB2312" w:eastAsia="仿宋_GB2312" w:hAnsi="华文仿宋" w:hint="eastAsia"/>
          <w:sz w:val="32"/>
          <w:szCs w:val="32"/>
        </w:rPr>
        <w:t>问题</w:t>
      </w:r>
      <w:r w:rsidR="00306C6E">
        <w:rPr>
          <w:rFonts w:ascii="仿宋_GB2312" w:eastAsia="仿宋_GB2312" w:hAnsi="华文仿宋" w:hint="eastAsia"/>
          <w:sz w:val="32"/>
          <w:szCs w:val="32"/>
        </w:rPr>
        <w:t>234</w:t>
      </w:r>
      <w:r w:rsidRPr="00037607">
        <w:rPr>
          <w:rFonts w:ascii="仿宋_GB2312" w:eastAsia="仿宋_GB2312" w:hAnsi="华文仿宋" w:hint="eastAsia"/>
          <w:sz w:val="32"/>
          <w:szCs w:val="32"/>
        </w:rPr>
        <w:t>个，</w:t>
      </w:r>
      <w:r w:rsidRPr="00AF3508">
        <w:rPr>
          <w:rFonts w:ascii="仿宋_GB2312" w:eastAsia="仿宋_GB2312" w:hAnsi="宋体" w:hint="eastAsia"/>
          <w:sz w:val="32"/>
        </w:rPr>
        <w:t>涉及问题均已及时处理。</w:t>
      </w:r>
    </w:p>
    <w:p w:rsidR="006C1AAE" w:rsidRDefault="00DB6D55" w:rsidP="00DB6D55">
      <w:pPr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电话问题处理统计表：</w:t>
      </w:r>
    </w:p>
    <w:tbl>
      <w:tblPr>
        <w:tblW w:w="7423" w:type="dxa"/>
        <w:jc w:val="center"/>
        <w:tblInd w:w="230" w:type="dxa"/>
        <w:tblLayout w:type="fixed"/>
        <w:tblLook w:val="04A0" w:firstRow="1" w:lastRow="0" w:firstColumn="1" w:lastColumn="0" w:noHBand="0" w:noVBand="1"/>
      </w:tblPr>
      <w:tblGrid>
        <w:gridCol w:w="780"/>
        <w:gridCol w:w="679"/>
        <w:gridCol w:w="777"/>
        <w:gridCol w:w="970"/>
        <w:gridCol w:w="776"/>
        <w:gridCol w:w="871"/>
        <w:gridCol w:w="969"/>
        <w:gridCol w:w="825"/>
        <w:gridCol w:w="776"/>
      </w:tblGrid>
      <w:tr w:rsidR="00DB6D55" w:rsidRPr="00484B1C" w:rsidTr="00DB6D55">
        <w:trPr>
          <w:trHeight w:val="270"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4B1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网上</w:t>
            </w:r>
            <w:r w:rsidR="00DB6D5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申报模块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电子缴税</w:t>
            </w:r>
            <w:r w:rsidR="00DB6D5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模块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报表查询模块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企业所得税年度申报模块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综合税费申报</w:t>
            </w:r>
            <w:r w:rsidR="00DB6D5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模块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个人所得税申报</w:t>
            </w:r>
            <w:r w:rsidR="00DB6D5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模块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</w:tcPr>
          <w:p w:rsidR="00DB6D55" w:rsidRPr="00484B1C" w:rsidRDefault="00DB6D55" w:rsidP="0020085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4B1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它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4B1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 w:rsidR="00DB6D55" w:rsidRPr="00484B1C" w:rsidTr="00DB6D55">
        <w:trPr>
          <w:trHeight w:val="270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84B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DB6D55" w:rsidRPr="00484B1C" w:rsidTr="00DB6D55">
        <w:trPr>
          <w:trHeight w:val="270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84B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长春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719BD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DB6D5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F87FA2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9446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55" w:rsidRPr="00484B1C" w:rsidRDefault="00DB6D55" w:rsidP="00200852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F87FA2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="0032238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DB6D55" w:rsidRPr="00484B1C" w:rsidTr="00DB6D55">
        <w:trPr>
          <w:trHeight w:val="270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84B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DB6D55" w:rsidRPr="00484B1C" w:rsidTr="00DB6D55">
        <w:trPr>
          <w:trHeight w:val="270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84B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四平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F87FA2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F87FA2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DB6D55" w:rsidRPr="00484B1C" w:rsidTr="00DB6D55">
        <w:trPr>
          <w:trHeight w:val="270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84B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辽源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F5" w:rsidRPr="00484B1C" w:rsidRDefault="00F87FA2" w:rsidP="009446F5">
            <w:pPr>
              <w:widowControl/>
              <w:ind w:firstLineChars="100" w:firstLine="18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F87FA2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DB6D55" w:rsidRPr="00484B1C" w:rsidTr="00DB6D55">
        <w:trPr>
          <w:trHeight w:val="270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84B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F87FA2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F87FA2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DB6D55" w:rsidRPr="00484B1C" w:rsidTr="00DB6D55">
        <w:trPr>
          <w:trHeight w:val="270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84B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白城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93E31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DB6D55" w:rsidRPr="00484B1C" w:rsidTr="00DB6D55">
        <w:trPr>
          <w:trHeight w:val="270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84B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白山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F87FA2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9446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F87FA2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393E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6D55" w:rsidRPr="00484B1C" w:rsidTr="00DB6D55">
        <w:trPr>
          <w:trHeight w:val="270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84B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松原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9446F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93E31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DB6D55" w:rsidRPr="00484B1C" w:rsidTr="00DB6D55">
        <w:trPr>
          <w:trHeight w:val="270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84B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延边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93E31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DB6D55" w:rsidRPr="00484B1C" w:rsidTr="00DB6D55">
        <w:trPr>
          <w:trHeight w:val="270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84B1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长白山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55" w:rsidRPr="00484B1C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93E31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DB6D55" w:rsidRPr="00484B1C" w:rsidTr="00DB6D55">
        <w:trPr>
          <w:trHeight w:val="270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省直属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Default="00322389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55" w:rsidRPr="00484B1C" w:rsidRDefault="00393E31" w:rsidP="002008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DB6D55" w:rsidRPr="00484B1C" w:rsidTr="00DB6D55">
        <w:trPr>
          <w:trHeight w:val="270"/>
          <w:jc w:val="center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center"/>
          </w:tcPr>
          <w:p w:rsidR="00DB6D55" w:rsidRPr="00484B1C" w:rsidRDefault="00DB6D55" w:rsidP="002008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4B1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DB6D55" w:rsidRPr="00322389" w:rsidRDefault="009719BD" w:rsidP="002008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  <w:r w:rsidR="00322389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DB6D55" w:rsidRPr="00322389" w:rsidRDefault="00F87FA2" w:rsidP="002008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DB6D55" w:rsidRPr="00322389" w:rsidRDefault="00322389" w:rsidP="00200852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DB6D55" w:rsidRPr="00322389" w:rsidRDefault="00322389" w:rsidP="002008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DB6D55" w:rsidRPr="00322389" w:rsidRDefault="00322389" w:rsidP="002008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DB6D55" w:rsidRPr="00322389" w:rsidRDefault="00322389" w:rsidP="002008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bottom"/>
          </w:tcPr>
          <w:p w:rsidR="00DB6D55" w:rsidRPr="00322389" w:rsidRDefault="00322389" w:rsidP="002008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</w:tcPr>
          <w:p w:rsidR="00DB6D55" w:rsidRPr="00322389" w:rsidRDefault="00F87FA2" w:rsidP="0020085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234</w:t>
            </w:r>
          </w:p>
        </w:tc>
      </w:tr>
    </w:tbl>
    <w:p w:rsidR="00DB6D55" w:rsidRDefault="00393E31" w:rsidP="00DB6D5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下面将本月操作类问题汇总说明如下，</w:t>
      </w:r>
      <w:r w:rsidRPr="00037607">
        <w:rPr>
          <w:rFonts w:ascii="仿宋_GB2312" w:eastAsia="仿宋_GB2312" w:hAnsi="华文仿宋" w:hint="eastAsia"/>
          <w:sz w:val="32"/>
          <w:szCs w:val="32"/>
        </w:rPr>
        <w:t>请各地区进一步熟悉操作过程，尽量避免再次</w:t>
      </w:r>
      <w:r>
        <w:rPr>
          <w:rFonts w:ascii="仿宋_GB2312" w:eastAsia="仿宋_GB2312" w:hAnsi="华文仿宋" w:hint="eastAsia"/>
          <w:sz w:val="32"/>
          <w:szCs w:val="32"/>
        </w:rPr>
        <w:t>发生</w:t>
      </w:r>
      <w:r w:rsidRPr="00037607">
        <w:rPr>
          <w:rFonts w:ascii="仿宋_GB2312" w:eastAsia="仿宋_GB2312" w:hAnsi="华文仿宋" w:hint="eastAsia"/>
          <w:sz w:val="32"/>
          <w:szCs w:val="32"/>
        </w:rPr>
        <w:t>此类问题。</w:t>
      </w:r>
    </w:p>
    <w:p w:rsidR="00393E31" w:rsidRDefault="00393E31" w:rsidP="00DB6D5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1系统业务员未在征管系统中将企业推广情况列为已推广或重新列入3.0</w:t>
      </w:r>
    </w:p>
    <w:p w:rsidR="004136EE" w:rsidRDefault="004136EE" w:rsidP="00DB6D55">
      <w:pPr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4136EE">
        <w:rPr>
          <w:rFonts w:ascii="仿宋_GB2312" w:eastAsia="仿宋_GB2312" w:hint="eastAsia"/>
          <w:color w:val="000000" w:themeColor="text1"/>
          <w:sz w:val="32"/>
          <w:szCs w:val="32"/>
        </w:rPr>
        <w:t>由于减免数据需要从征管系统中同步，所以此类问题</w:t>
      </w:r>
      <w:r w:rsidRPr="004136EE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确实需要进行共享操作之后方能解决。</w:t>
      </w:r>
      <w:r w:rsidRPr="004136EE">
        <w:rPr>
          <w:rFonts w:ascii="仿宋_GB2312" w:eastAsia="仿宋_GB2312" w:hAnsi="宋体" w:hint="eastAsia"/>
          <w:color w:val="000000" w:themeColor="text1"/>
          <w:sz w:val="32"/>
          <w:szCs w:val="32"/>
        </w:rPr>
        <w:t>请按此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步骤操作：征管系统修改—征管系统共享操作—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网报管理端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同步—</w:t>
      </w:r>
      <w:r w:rsidRPr="004136EE">
        <w:rPr>
          <w:rFonts w:ascii="仿宋_GB2312" w:eastAsia="仿宋_GB2312" w:hAnsi="宋体" w:hint="eastAsia"/>
          <w:color w:val="000000" w:themeColor="text1"/>
          <w:sz w:val="32"/>
          <w:szCs w:val="32"/>
        </w:rPr>
        <w:t>纳税人刷新。</w:t>
      </w:r>
    </w:p>
    <w:p w:rsidR="003E799A" w:rsidRDefault="003E799A" w:rsidP="00F87FA2">
      <w:pPr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  <w:r w:rsidRPr="00AF3508">
        <w:rPr>
          <w:rFonts w:ascii="仿宋_GB2312" w:eastAsia="仿宋_GB2312" w:hAnsi="华文仿宋" w:hint="eastAsia"/>
          <w:b/>
          <w:sz w:val="32"/>
          <w:szCs w:val="32"/>
        </w:rPr>
        <w:t>各类问题统计示意图</w:t>
      </w:r>
      <w:r w:rsidR="009719BD">
        <w:rPr>
          <w:rFonts w:ascii="仿宋_GB2312" w:eastAsia="仿宋_GB2312" w:hAnsi="华文仿宋" w:hint="eastAsia"/>
          <w:b/>
          <w:sz w:val="32"/>
          <w:szCs w:val="32"/>
        </w:rPr>
        <w:t xml:space="preserve">         </w:t>
      </w:r>
      <w:r w:rsidR="00F87FA2" w:rsidRPr="00AF3508">
        <w:rPr>
          <w:rFonts w:ascii="仿宋_GB2312" w:eastAsia="仿宋_GB2312" w:hAnsi="华文仿宋" w:hint="eastAsia"/>
          <w:b/>
          <w:sz w:val="32"/>
          <w:szCs w:val="32"/>
        </w:rPr>
        <w:t>数据问题统计示意图</w:t>
      </w: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750EA2FF" wp14:editId="4D8FFC4F">
            <wp:extent cx="2552700" cy="2514600"/>
            <wp:effectExtent l="0" t="0" r="19050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87FA2">
        <w:rPr>
          <w:rFonts w:ascii="仿宋_GB2312" w:eastAsia="仿宋_GB2312" w:hAnsi="华文仿宋" w:hint="eastAsia"/>
          <w:b/>
          <w:noProof/>
          <w:sz w:val="32"/>
          <w:szCs w:val="32"/>
        </w:rPr>
        <w:drawing>
          <wp:inline distT="0" distB="0" distL="0" distR="0">
            <wp:extent cx="2333625" cy="2524125"/>
            <wp:effectExtent l="0" t="0" r="9525" b="952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1AAE" w:rsidRDefault="009E1D79" w:rsidP="009E1D79">
      <w:pPr>
        <w:pStyle w:val="2"/>
        <w:numPr>
          <w:ilvl w:val="0"/>
          <w:numId w:val="3"/>
        </w:numPr>
      </w:pPr>
      <w:r w:rsidRPr="00DF334E">
        <w:t>本月常见问题</w:t>
      </w:r>
      <w:r>
        <w:rPr>
          <w:rFonts w:hint="eastAsia"/>
        </w:rPr>
        <w:t>：</w:t>
      </w:r>
    </w:p>
    <w:p w:rsidR="009E1D79" w:rsidRDefault="009E1D79" w:rsidP="009E1D79">
      <w:pPr>
        <w:pStyle w:val="a5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 w:rsidRPr="009E1D79">
        <w:rPr>
          <w:rFonts w:ascii="仿宋_GB2312" w:eastAsia="仿宋_GB2312" w:hint="eastAsia"/>
          <w:sz w:val="32"/>
          <w:szCs w:val="32"/>
        </w:rPr>
        <w:t>纳税人网上申报缴税扣款时提示</w:t>
      </w:r>
      <w:r>
        <w:rPr>
          <w:rFonts w:ascii="仿宋_GB2312" w:eastAsia="仿宋_GB2312" w:hint="eastAsia"/>
          <w:sz w:val="32"/>
          <w:szCs w:val="32"/>
        </w:rPr>
        <w:t>扣款失败。</w:t>
      </w:r>
    </w:p>
    <w:p w:rsidR="009E1D79" w:rsidRPr="00DD38A4" w:rsidRDefault="009E1D79" w:rsidP="00DD38A4">
      <w:pPr>
        <w:rPr>
          <w:rFonts w:ascii="仿宋_GB2312" w:eastAsia="仿宋_GB2312"/>
          <w:sz w:val="32"/>
          <w:szCs w:val="32"/>
        </w:rPr>
      </w:pPr>
      <w:r w:rsidRPr="00DD38A4">
        <w:rPr>
          <w:rFonts w:ascii="仿宋_GB2312" w:eastAsia="仿宋_GB2312" w:hint="eastAsia"/>
          <w:sz w:val="32"/>
          <w:szCs w:val="32"/>
        </w:rPr>
        <w:t>产生原因：</w:t>
      </w:r>
    </w:p>
    <w:p w:rsidR="009E1D79" w:rsidRPr="00DD38A4" w:rsidRDefault="00DD38A4" w:rsidP="00DD38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E1D79" w:rsidRPr="00DD38A4">
        <w:rPr>
          <w:rFonts w:ascii="仿宋_GB2312" w:eastAsia="仿宋_GB2312" w:hint="eastAsia"/>
          <w:sz w:val="32"/>
          <w:szCs w:val="32"/>
        </w:rPr>
        <w:t>纳税人银行账户有问题。</w:t>
      </w:r>
    </w:p>
    <w:p w:rsidR="009E1D79" w:rsidRPr="00DD38A4" w:rsidRDefault="00DD38A4" w:rsidP="00DD38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E1D79" w:rsidRPr="00DD38A4">
        <w:rPr>
          <w:rFonts w:ascii="仿宋_GB2312" w:eastAsia="仿宋_GB2312" w:hint="eastAsia"/>
          <w:sz w:val="32"/>
          <w:szCs w:val="32"/>
        </w:rPr>
        <w:t>三方协议未验证通过</w:t>
      </w:r>
    </w:p>
    <w:p w:rsidR="00DD38A4" w:rsidRDefault="00DD38A4" w:rsidP="00DD38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解决办法：</w:t>
      </w:r>
    </w:p>
    <w:p w:rsidR="00DD38A4" w:rsidRPr="00DD38A4" w:rsidRDefault="00DD38A4" w:rsidP="00DD38A4">
      <w:pPr>
        <w:pStyle w:val="a5"/>
        <w:numPr>
          <w:ilvl w:val="0"/>
          <w:numId w:val="6"/>
        </w:numPr>
        <w:ind w:firstLineChars="0"/>
        <w:rPr>
          <w:rFonts w:ascii="仿宋_GB2312" w:eastAsia="仿宋_GB2312"/>
          <w:sz w:val="32"/>
          <w:szCs w:val="32"/>
        </w:rPr>
      </w:pPr>
      <w:r w:rsidRPr="00DD38A4">
        <w:rPr>
          <w:rFonts w:ascii="仿宋_GB2312" w:eastAsia="仿宋_GB2312" w:hint="eastAsia"/>
          <w:sz w:val="32"/>
          <w:szCs w:val="32"/>
        </w:rPr>
        <w:t>查询一下银行账户余额，确认是否扣款成功，如果钱没少说明扣款失败，重新扣款</w:t>
      </w:r>
    </w:p>
    <w:p w:rsidR="00DD38A4" w:rsidRDefault="00DD38A4" w:rsidP="00DD38A4">
      <w:pPr>
        <w:pStyle w:val="a5"/>
        <w:numPr>
          <w:ilvl w:val="0"/>
          <w:numId w:val="6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三方协议验证通过的账户是否为本企业现在正在使用的账号、三方协议是否正常</w:t>
      </w:r>
    </w:p>
    <w:p w:rsidR="00DD38A4" w:rsidRPr="00DD38A4" w:rsidRDefault="00DD38A4" w:rsidP="00DD38A4">
      <w:pPr>
        <w:pStyle w:val="a5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 w:rsidRPr="00DD38A4">
        <w:rPr>
          <w:rFonts w:ascii="仿宋_GB2312" w:eastAsia="仿宋_GB2312" w:hint="eastAsia"/>
          <w:sz w:val="32"/>
          <w:szCs w:val="32"/>
        </w:rPr>
        <w:t>纳税人申报错误或重复申报。</w:t>
      </w:r>
    </w:p>
    <w:p w:rsidR="00DD38A4" w:rsidRPr="00DD38A4" w:rsidRDefault="00DD38A4" w:rsidP="00DD38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产生原因：纳税人操作错误</w:t>
      </w:r>
    </w:p>
    <w:p w:rsidR="00FF51AB" w:rsidRDefault="00DD38A4" w:rsidP="00DD38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解决方法：</w:t>
      </w:r>
    </w:p>
    <w:p w:rsidR="009E1D79" w:rsidRPr="00FF51AB" w:rsidRDefault="00DD38A4" w:rsidP="00FF51AB">
      <w:pPr>
        <w:pStyle w:val="a5"/>
        <w:numPr>
          <w:ilvl w:val="0"/>
          <w:numId w:val="7"/>
        </w:numPr>
        <w:ind w:firstLineChars="0"/>
        <w:rPr>
          <w:rFonts w:ascii="仿宋_GB2312" w:eastAsia="仿宋_GB2312"/>
          <w:sz w:val="32"/>
          <w:szCs w:val="32"/>
        </w:rPr>
      </w:pPr>
      <w:r w:rsidRPr="00FF51AB">
        <w:rPr>
          <w:rFonts w:ascii="仿宋_GB2312" w:eastAsia="仿宋_GB2312" w:hint="eastAsia"/>
          <w:sz w:val="32"/>
          <w:szCs w:val="32"/>
        </w:rPr>
        <w:t>可以</w:t>
      </w:r>
      <w:proofErr w:type="gramStart"/>
      <w:r w:rsidRPr="00FF51AB">
        <w:rPr>
          <w:rFonts w:ascii="仿宋_GB2312" w:eastAsia="仿宋_GB2312" w:hint="eastAsia"/>
          <w:sz w:val="32"/>
          <w:szCs w:val="32"/>
        </w:rPr>
        <w:t>在网报系统</w:t>
      </w:r>
      <w:proofErr w:type="gramEnd"/>
      <w:r w:rsidRPr="00FF51AB">
        <w:rPr>
          <w:rFonts w:ascii="仿宋_GB2312" w:eastAsia="仿宋_GB2312" w:hint="eastAsia"/>
          <w:sz w:val="32"/>
          <w:szCs w:val="32"/>
        </w:rPr>
        <w:t>—网上申报—本期未完成申报中修改、删除已填写保存但未申报的信息</w:t>
      </w:r>
      <w:r w:rsidR="00FF51AB" w:rsidRPr="00FF51AB">
        <w:rPr>
          <w:rFonts w:ascii="仿宋_GB2312" w:eastAsia="仿宋_GB2312" w:hint="eastAsia"/>
          <w:sz w:val="32"/>
          <w:szCs w:val="32"/>
        </w:rPr>
        <w:t>。</w:t>
      </w:r>
    </w:p>
    <w:p w:rsidR="00FF51AB" w:rsidRDefault="00FF51AB" w:rsidP="00FF51AB">
      <w:pPr>
        <w:pStyle w:val="a5"/>
        <w:numPr>
          <w:ilvl w:val="0"/>
          <w:numId w:val="7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在申请作废申报中作废已申报但未扣款的申报信息（征期内）</w:t>
      </w:r>
    </w:p>
    <w:p w:rsidR="00FF51AB" w:rsidRPr="00FF51AB" w:rsidRDefault="00FF51AB" w:rsidP="00FF51AB">
      <w:pPr>
        <w:pStyle w:val="a5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 w:rsidRPr="00FF51AB">
        <w:rPr>
          <w:rFonts w:ascii="仿宋_GB2312" w:eastAsia="仿宋_GB2312" w:hint="eastAsia"/>
          <w:sz w:val="32"/>
          <w:szCs w:val="32"/>
        </w:rPr>
        <w:t>纳税人登录后无法看到管理员已修改后的应纳税种、税率信息。</w:t>
      </w:r>
    </w:p>
    <w:p w:rsidR="00FF51AB" w:rsidRDefault="00FF51AB" w:rsidP="00FF51A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产生原因：纳税人未刷新信息。</w:t>
      </w:r>
    </w:p>
    <w:p w:rsidR="00FF51AB" w:rsidRDefault="00FF51AB" w:rsidP="00FF51A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解决方法：纳税人</w:t>
      </w:r>
      <w:proofErr w:type="gramStart"/>
      <w:r>
        <w:rPr>
          <w:rFonts w:ascii="仿宋_GB2312" w:eastAsia="仿宋_GB2312" w:hint="eastAsia"/>
          <w:sz w:val="32"/>
          <w:szCs w:val="32"/>
        </w:rPr>
        <w:t>登录网报</w:t>
      </w:r>
      <w:proofErr w:type="gramEnd"/>
      <w:r>
        <w:rPr>
          <w:rFonts w:ascii="仿宋_GB2312" w:eastAsia="仿宋_GB2312" w:hint="eastAsia"/>
          <w:sz w:val="32"/>
          <w:szCs w:val="32"/>
        </w:rPr>
        <w:t>系统后，</w:t>
      </w:r>
      <w:proofErr w:type="gramStart"/>
      <w:r>
        <w:rPr>
          <w:rFonts w:ascii="仿宋_GB2312" w:eastAsia="仿宋_GB2312" w:hint="eastAsia"/>
          <w:sz w:val="32"/>
          <w:szCs w:val="32"/>
        </w:rPr>
        <w:t>需信息</w:t>
      </w:r>
      <w:proofErr w:type="gramEnd"/>
      <w:r>
        <w:rPr>
          <w:rFonts w:ascii="仿宋_GB2312" w:eastAsia="仿宋_GB2312" w:hint="eastAsia"/>
          <w:sz w:val="32"/>
          <w:szCs w:val="32"/>
        </w:rPr>
        <w:t>刷新—刷新纳税人税种税目核定信息。</w:t>
      </w:r>
    </w:p>
    <w:p w:rsidR="00FF51AB" w:rsidRPr="00FF51AB" w:rsidRDefault="00FF51AB" w:rsidP="00FF51AB">
      <w:pPr>
        <w:pStyle w:val="a5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 w:rsidRPr="00FF51AB">
        <w:rPr>
          <w:rFonts w:ascii="仿宋_GB2312" w:eastAsia="仿宋_GB2312" w:hint="eastAsia"/>
          <w:sz w:val="32"/>
          <w:szCs w:val="32"/>
        </w:rPr>
        <w:t>纳税人登录时提示“未核定为网络申报方式”，无法登录。</w:t>
      </w:r>
    </w:p>
    <w:p w:rsidR="00FF51AB" w:rsidRDefault="00306C6E" w:rsidP="00FF51A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产生原因：管理员未将纳税人申报方式设定为网络申报方式或已设定</w:t>
      </w:r>
      <w:proofErr w:type="gramStart"/>
      <w:r>
        <w:rPr>
          <w:rFonts w:ascii="仿宋_GB2312" w:eastAsia="仿宋_GB2312" w:hint="eastAsia"/>
          <w:sz w:val="32"/>
          <w:szCs w:val="32"/>
        </w:rPr>
        <w:t>但网报管理系统</w:t>
      </w:r>
      <w:proofErr w:type="gramEnd"/>
      <w:r>
        <w:rPr>
          <w:rFonts w:ascii="仿宋_GB2312" w:eastAsia="仿宋_GB2312" w:hint="eastAsia"/>
          <w:sz w:val="32"/>
          <w:szCs w:val="32"/>
        </w:rPr>
        <w:t>未做同步。</w:t>
      </w:r>
    </w:p>
    <w:p w:rsidR="00306C6E" w:rsidRDefault="00306C6E" w:rsidP="00FF51A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解决方法：管理员在应纳税种模块中将纳税人申报方式修改为“网络申报方式”，保存后将纳税人信息共享，</w:t>
      </w:r>
      <w:proofErr w:type="gramStart"/>
      <w:r>
        <w:rPr>
          <w:rFonts w:ascii="仿宋_GB2312" w:eastAsia="仿宋_GB2312" w:hint="eastAsia"/>
          <w:sz w:val="32"/>
          <w:szCs w:val="32"/>
        </w:rPr>
        <w:t>或网报系统</w:t>
      </w:r>
      <w:proofErr w:type="gramEnd"/>
      <w:r>
        <w:rPr>
          <w:rFonts w:ascii="仿宋_GB2312" w:eastAsia="仿宋_GB2312" w:hint="eastAsia"/>
          <w:sz w:val="32"/>
          <w:szCs w:val="32"/>
        </w:rPr>
        <w:t>管理员需在</w:t>
      </w:r>
      <w:proofErr w:type="gramStart"/>
      <w:r>
        <w:rPr>
          <w:rFonts w:ascii="仿宋_GB2312" w:eastAsia="仿宋_GB2312" w:hint="eastAsia"/>
          <w:sz w:val="32"/>
          <w:szCs w:val="32"/>
        </w:rPr>
        <w:t>网报管理</w:t>
      </w:r>
      <w:proofErr w:type="gramEnd"/>
      <w:r>
        <w:rPr>
          <w:rFonts w:ascii="仿宋_GB2312" w:eastAsia="仿宋_GB2312" w:hint="eastAsia"/>
          <w:sz w:val="32"/>
          <w:szCs w:val="32"/>
        </w:rPr>
        <w:t>平台将该纳税人信息做同步。</w:t>
      </w:r>
    </w:p>
    <w:p w:rsidR="00306C6E" w:rsidRDefault="00306C6E" w:rsidP="00306C6E">
      <w:pPr>
        <w:pStyle w:val="2"/>
        <w:numPr>
          <w:ilvl w:val="0"/>
          <w:numId w:val="2"/>
        </w:numPr>
      </w:pPr>
      <w:r w:rsidRPr="00DF334E">
        <w:rPr>
          <w:rFonts w:hint="eastAsia"/>
        </w:rPr>
        <w:t>监控情况</w:t>
      </w:r>
    </w:p>
    <w:p w:rsidR="00306C6E" w:rsidRDefault="00306C6E" w:rsidP="00306C6E"/>
    <w:p w:rsidR="00306C6E" w:rsidRDefault="00306C6E" w:rsidP="00306C6E"/>
    <w:p w:rsidR="00306C6E" w:rsidRPr="00306C6E" w:rsidRDefault="00306C6E" w:rsidP="00306C6E"/>
    <w:p w:rsidR="00306C6E" w:rsidRDefault="00306C6E" w:rsidP="00306C6E">
      <w:pPr>
        <w:pStyle w:val="2"/>
        <w:numPr>
          <w:ilvl w:val="0"/>
          <w:numId w:val="2"/>
        </w:numPr>
      </w:pPr>
      <w:r w:rsidRPr="00DF334E">
        <w:rPr>
          <w:rFonts w:hint="eastAsia"/>
        </w:rPr>
        <w:lastRenderedPageBreak/>
        <w:t>程序发布情况</w:t>
      </w:r>
    </w:p>
    <w:p w:rsidR="00306C6E" w:rsidRDefault="00306C6E" w:rsidP="00306C6E"/>
    <w:p w:rsidR="00306C6E" w:rsidRDefault="00306C6E" w:rsidP="00306C6E"/>
    <w:p w:rsidR="00306C6E" w:rsidRPr="00306C6E" w:rsidRDefault="00306C6E" w:rsidP="00306C6E"/>
    <w:p w:rsidR="00306C6E" w:rsidRDefault="00306C6E" w:rsidP="00306C6E">
      <w:pPr>
        <w:pStyle w:val="2"/>
        <w:numPr>
          <w:ilvl w:val="0"/>
          <w:numId w:val="2"/>
        </w:numPr>
      </w:pPr>
      <w:r w:rsidRPr="00DF334E">
        <w:t>其它工作</w:t>
      </w:r>
    </w:p>
    <w:p w:rsidR="00306C6E" w:rsidRDefault="00306C6E" w:rsidP="00306C6E">
      <w:pPr>
        <w:spacing w:line="360" w:lineRule="auto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1.根据长春市局要求，提供所需数据；</w:t>
      </w:r>
    </w:p>
    <w:p w:rsidR="00306C6E" w:rsidRDefault="00306C6E" w:rsidP="00306C6E">
      <w:pPr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2.协助各地区统计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2013年网报相关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汇总数据。</w:t>
      </w:r>
      <w:bookmarkStart w:id="0" w:name="_GoBack"/>
      <w:bookmarkEnd w:id="0"/>
    </w:p>
    <w:p w:rsidR="006F0ABB" w:rsidRDefault="006F0ABB" w:rsidP="00306C6E">
      <w:pPr>
        <w:spacing w:line="360" w:lineRule="auto"/>
        <w:ind w:firstLineChars="750" w:firstLine="2400"/>
        <w:jc w:val="righ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</w:p>
    <w:p w:rsidR="00306C6E" w:rsidRDefault="006F0ABB" w:rsidP="00306C6E">
      <w:pPr>
        <w:spacing w:line="360" w:lineRule="auto"/>
        <w:ind w:firstLineChars="750" w:firstLine="240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中国联通吉林省分公司</w:t>
      </w:r>
      <w:r w:rsidR="00306C6E">
        <w:rPr>
          <w:rFonts w:ascii="仿宋_GB2312" w:eastAsia="仿宋_GB2312" w:hAnsi="华文仿宋" w:hint="eastAsia"/>
          <w:sz w:val="32"/>
          <w:szCs w:val="32"/>
        </w:rPr>
        <w:t xml:space="preserve">                                       </w:t>
      </w:r>
    </w:p>
    <w:p w:rsidR="00306C6E" w:rsidRPr="006F0ABB" w:rsidRDefault="00306C6E" w:rsidP="006F0ABB">
      <w:pPr>
        <w:spacing w:line="360" w:lineRule="auto"/>
        <w:ind w:firstLineChars="1150" w:firstLine="368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2013年2月25日</w:t>
      </w:r>
    </w:p>
    <w:sectPr w:rsidR="00306C6E" w:rsidRPr="006F0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F9" w:rsidRDefault="003F1EF9" w:rsidP="006C1AAE">
      <w:r>
        <w:separator/>
      </w:r>
    </w:p>
  </w:endnote>
  <w:endnote w:type="continuationSeparator" w:id="0">
    <w:p w:rsidR="003F1EF9" w:rsidRDefault="003F1EF9" w:rsidP="006C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F9" w:rsidRDefault="003F1EF9" w:rsidP="006C1AAE">
      <w:r>
        <w:separator/>
      </w:r>
    </w:p>
  </w:footnote>
  <w:footnote w:type="continuationSeparator" w:id="0">
    <w:p w:rsidR="003F1EF9" w:rsidRDefault="003F1EF9" w:rsidP="006C1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97A"/>
    <w:multiLevelType w:val="hybridMultilevel"/>
    <w:tmpl w:val="8872161A"/>
    <w:lvl w:ilvl="0" w:tplc="EBCEEB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A86BDD"/>
    <w:multiLevelType w:val="hybridMultilevel"/>
    <w:tmpl w:val="C008702A"/>
    <w:lvl w:ilvl="0" w:tplc="43C67AE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65" w:hanging="420"/>
      </w:pPr>
    </w:lvl>
    <w:lvl w:ilvl="2" w:tplc="0409001B" w:tentative="1">
      <w:start w:val="1"/>
      <w:numFmt w:val="lowerRoman"/>
      <w:lvlText w:val="%3."/>
      <w:lvlJc w:val="right"/>
      <w:pPr>
        <w:ind w:left="2985" w:hanging="420"/>
      </w:pPr>
    </w:lvl>
    <w:lvl w:ilvl="3" w:tplc="0409000F" w:tentative="1">
      <w:start w:val="1"/>
      <w:numFmt w:val="decimal"/>
      <w:lvlText w:val="%4."/>
      <w:lvlJc w:val="left"/>
      <w:pPr>
        <w:ind w:left="3405" w:hanging="420"/>
      </w:pPr>
    </w:lvl>
    <w:lvl w:ilvl="4" w:tplc="04090019" w:tentative="1">
      <w:start w:val="1"/>
      <w:numFmt w:val="lowerLetter"/>
      <w:lvlText w:val="%5)"/>
      <w:lvlJc w:val="left"/>
      <w:pPr>
        <w:ind w:left="3825" w:hanging="420"/>
      </w:pPr>
    </w:lvl>
    <w:lvl w:ilvl="5" w:tplc="0409001B" w:tentative="1">
      <w:start w:val="1"/>
      <w:numFmt w:val="lowerRoman"/>
      <w:lvlText w:val="%6."/>
      <w:lvlJc w:val="right"/>
      <w:pPr>
        <w:ind w:left="4245" w:hanging="420"/>
      </w:pPr>
    </w:lvl>
    <w:lvl w:ilvl="6" w:tplc="0409000F" w:tentative="1">
      <w:start w:val="1"/>
      <w:numFmt w:val="decimal"/>
      <w:lvlText w:val="%7."/>
      <w:lvlJc w:val="left"/>
      <w:pPr>
        <w:ind w:left="4665" w:hanging="420"/>
      </w:pPr>
    </w:lvl>
    <w:lvl w:ilvl="7" w:tplc="04090019" w:tentative="1">
      <w:start w:val="1"/>
      <w:numFmt w:val="lowerLetter"/>
      <w:lvlText w:val="%8)"/>
      <w:lvlJc w:val="left"/>
      <w:pPr>
        <w:ind w:left="5085" w:hanging="420"/>
      </w:pPr>
    </w:lvl>
    <w:lvl w:ilvl="8" w:tplc="0409001B" w:tentative="1">
      <w:start w:val="1"/>
      <w:numFmt w:val="lowerRoman"/>
      <w:lvlText w:val="%9."/>
      <w:lvlJc w:val="right"/>
      <w:pPr>
        <w:ind w:left="5505" w:hanging="420"/>
      </w:pPr>
    </w:lvl>
  </w:abstractNum>
  <w:abstractNum w:abstractNumId="2">
    <w:nsid w:val="27006116"/>
    <w:multiLevelType w:val="hybridMultilevel"/>
    <w:tmpl w:val="C77C99F0"/>
    <w:lvl w:ilvl="0" w:tplc="A8F0B3D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CEE3BB3"/>
    <w:multiLevelType w:val="hybridMultilevel"/>
    <w:tmpl w:val="498E278E"/>
    <w:lvl w:ilvl="0" w:tplc="04090017">
      <w:start w:val="1"/>
      <w:numFmt w:val="chineseCountingThousand"/>
      <w:lvlText w:val="(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BA08F1"/>
    <w:multiLevelType w:val="hybridMultilevel"/>
    <w:tmpl w:val="A72CC350"/>
    <w:lvl w:ilvl="0" w:tplc="BC14C46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465C61"/>
    <w:multiLevelType w:val="hybridMultilevel"/>
    <w:tmpl w:val="49F46702"/>
    <w:lvl w:ilvl="0" w:tplc="A2EA748A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6F5A2F"/>
    <w:multiLevelType w:val="hybridMultilevel"/>
    <w:tmpl w:val="208CDD10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8EA469A"/>
    <w:multiLevelType w:val="hybridMultilevel"/>
    <w:tmpl w:val="A3847B60"/>
    <w:lvl w:ilvl="0" w:tplc="14B85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0367E4"/>
    <w:multiLevelType w:val="hybridMultilevel"/>
    <w:tmpl w:val="8228C30C"/>
    <w:lvl w:ilvl="0" w:tplc="F8CEBAC4">
      <w:start w:val="1"/>
      <w:numFmt w:val="japaneseCounting"/>
      <w:lvlText w:val="%1、"/>
      <w:lvlJc w:val="left"/>
      <w:pPr>
        <w:ind w:left="817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7" w:hanging="420"/>
      </w:pPr>
    </w:lvl>
    <w:lvl w:ilvl="2" w:tplc="0409001B" w:tentative="1">
      <w:start w:val="1"/>
      <w:numFmt w:val="lowerRoman"/>
      <w:lvlText w:val="%3."/>
      <w:lvlJc w:val="righ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9" w:tentative="1">
      <w:start w:val="1"/>
      <w:numFmt w:val="lowerLetter"/>
      <w:lvlText w:val="%5)"/>
      <w:lvlJc w:val="left"/>
      <w:pPr>
        <w:ind w:left="2257" w:hanging="420"/>
      </w:pPr>
    </w:lvl>
    <w:lvl w:ilvl="5" w:tplc="0409001B" w:tentative="1">
      <w:start w:val="1"/>
      <w:numFmt w:val="lowerRoman"/>
      <w:lvlText w:val="%6."/>
      <w:lvlJc w:val="righ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9" w:tentative="1">
      <w:start w:val="1"/>
      <w:numFmt w:val="lowerLetter"/>
      <w:lvlText w:val="%8)"/>
      <w:lvlJc w:val="left"/>
      <w:pPr>
        <w:ind w:left="3517" w:hanging="420"/>
      </w:pPr>
    </w:lvl>
    <w:lvl w:ilvl="8" w:tplc="0409001B" w:tentative="1">
      <w:start w:val="1"/>
      <w:numFmt w:val="lowerRoman"/>
      <w:lvlText w:val="%9."/>
      <w:lvlJc w:val="right"/>
      <w:pPr>
        <w:ind w:left="3937" w:hanging="42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1"/>
    <w:rsid w:val="000F2EBD"/>
    <w:rsid w:val="00144B41"/>
    <w:rsid w:val="00306C6E"/>
    <w:rsid w:val="00322389"/>
    <w:rsid w:val="00393E31"/>
    <w:rsid w:val="003E799A"/>
    <w:rsid w:val="003F1EF9"/>
    <w:rsid w:val="004136EE"/>
    <w:rsid w:val="006C1AAE"/>
    <w:rsid w:val="006F0ABB"/>
    <w:rsid w:val="009446F5"/>
    <w:rsid w:val="009719BD"/>
    <w:rsid w:val="009E1D79"/>
    <w:rsid w:val="00BE6F06"/>
    <w:rsid w:val="00D57949"/>
    <w:rsid w:val="00DB1E35"/>
    <w:rsid w:val="00DB6D55"/>
    <w:rsid w:val="00DD38A4"/>
    <w:rsid w:val="00F87FA2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1A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1A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AAE"/>
    <w:rPr>
      <w:sz w:val="18"/>
      <w:szCs w:val="18"/>
    </w:rPr>
  </w:style>
  <w:style w:type="paragraph" w:styleId="a5">
    <w:name w:val="List Paragraph"/>
    <w:basedOn w:val="a"/>
    <w:uiPriority w:val="34"/>
    <w:qFormat/>
    <w:rsid w:val="006C1AA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C1A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6C1AAE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3E79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79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1A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C1A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AAE"/>
    <w:rPr>
      <w:sz w:val="18"/>
      <w:szCs w:val="18"/>
    </w:rPr>
  </w:style>
  <w:style w:type="paragraph" w:styleId="a5">
    <w:name w:val="List Paragraph"/>
    <w:basedOn w:val="a"/>
    <w:uiPriority w:val="34"/>
    <w:qFormat/>
    <w:rsid w:val="006C1AA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C1A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6C1AAE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3E79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79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648967551622419"/>
          <c:y val="0"/>
          <c:w val="0.55761363900308925"/>
          <c:h val="0.880758807588075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7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长春</c:v>
                </c:pt>
                <c:pt idx="1">
                  <c:v>吉林</c:v>
                </c:pt>
                <c:pt idx="2">
                  <c:v>四平</c:v>
                </c:pt>
                <c:pt idx="3">
                  <c:v>辽源</c:v>
                </c:pt>
                <c:pt idx="4">
                  <c:v>通化</c:v>
                </c:pt>
                <c:pt idx="5">
                  <c:v>白城</c:v>
                </c:pt>
                <c:pt idx="6">
                  <c:v>白山</c:v>
                </c:pt>
                <c:pt idx="7">
                  <c:v>松原</c:v>
                </c:pt>
                <c:pt idx="8">
                  <c:v>延吉</c:v>
                </c:pt>
                <c:pt idx="9">
                  <c:v>长白山</c:v>
                </c:pt>
                <c:pt idx="10">
                  <c:v>省直属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69</c:v>
                </c:pt>
                <c:pt idx="1">
                  <c:v>18</c:v>
                </c:pt>
                <c:pt idx="2">
                  <c:v>16</c:v>
                </c:pt>
                <c:pt idx="3">
                  <c:v>14</c:v>
                </c:pt>
                <c:pt idx="4">
                  <c:v>11</c:v>
                </c:pt>
                <c:pt idx="5">
                  <c:v>11</c:v>
                </c:pt>
                <c:pt idx="6">
                  <c:v>23</c:v>
                </c:pt>
                <c:pt idx="7">
                  <c:v>13</c:v>
                </c:pt>
                <c:pt idx="8">
                  <c:v>20</c:v>
                </c:pt>
                <c:pt idx="9">
                  <c:v>15</c:v>
                </c:pt>
                <c:pt idx="1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87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电子缴税模块</c:v>
                </c:pt>
                <c:pt idx="1">
                  <c:v>报表查询模块</c:v>
                </c:pt>
                <c:pt idx="2">
                  <c:v>企业所得税年度申报模块</c:v>
                </c:pt>
                <c:pt idx="3">
                  <c:v>综合税费申报模块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75</c:v>
                </c:pt>
                <c:pt idx="1">
                  <c:v>20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427547907862868"/>
          <c:y val="2.490085215119036E-2"/>
          <c:w val="0.34483649003334044"/>
          <c:h val="0.975099240045974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CDF9-A89D-48CD-9583-082C0366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182</Words>
  <Characters>1042</Characters>
  <Application>Microsoft Office Word</Application>
  <DocSecurity>0</DocSecurity>
  <Lines>8</Lines>
  <Paragraphs>2</Paragraphs>
  <ScaleCrop>false</ScaleCrop>
  <Company>ZGHB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ZBEZJ</dc:creator>
  <cp:keywords/>
  <dc:description/>
  <cp:lastModifiedBy>ZBEZJ</cp:lastModifiedBy>
  <cp:revision>3</cp:revision>
  <dcterms:created xsi:type="dcterms:W3CDTF">2013-02-25T04:57:00Z</dcterms:created>
  <dcterms:modified xsi:type="dcterms:W3CDTF">2013-02-25T07:59:00Z</dcterms:modified>
</cp:coreProperties>
</file>