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C4" w:rsidRPr="00ED7082" w:rsidRDefault="005F5AC4" w:rsidP="005F5AC4">
      <w:pPr>
        <w:pStyle w:val="a5"/>
        <w:ind w:left="-39"/>
        <w:rPr>
          <w:rFonts w:ascii="黑体" w:eastAsia="黑体" w:hAnsi="Times New Roman"/>
          <w:color w:val="000000"/>
          <w:sz w:val="32"/>
          <w:szCs w:val="32"/>
        </w:rPr>
      </w:pPr>
      <w:r w:rsidRPr="00837870">
        <w:rPr>
          <w:rFonts w:ascii="黑体" w:eastAsia="黑体" w:hAnsi="Times New Roman" w:hint="eastAsia"/>
          <w:color w:val="000000"/>
          <w:sz w:val="32"/>
          <w:szCs w:val="32"/>
        </w:rPr>
        <w:t>附件</w:t>
      </w:r>
      <w:r>
        <w:rPr>
          <w:rFonts w:ascii="黑体" w:eastAsia="黑体" w:hAnsi="Times New Roman" w:hint="eastAsia"/>
          <w:color w:val="000000"/>
          <w:sz w:val="32"/>
          <w:szCs w:val="32"/>
        </w:rPr>
        <w:t>4</w:t>
      </w:r>
    </w:p>
    <w:p w:rsidR="005F5AC4" w:rsidRPr="00DC1A55" w:rsidRDefault="005F5AC4" w:rsidP="005F5AC4">
      <w:pPr>
        <w:pStyle w:val="a5"/>
        <w:spacing w:beforeLines="50" w:beforeAutospacing="0" w:afterLines="50" w:afterAutospacing="0"/>
        <w:jc w:val="center"/>
        <w:rPr>
          <w:b/>
          <w:bCs/>
          <w:color w:val="000000"/>
          <w:sz w:val="36"/>
          <w:szCs w:val="36"/>
        </w:rPr>
      </w:pPr>
      <w:r w:rsidRPr="00DC1A55">
        <w:rPr>
          <w:rFonts w:hint="eastAsia"/>
          <w:b/>
          <w:bCs/>
          <w:color w:val="000000"/>
          <w:sz w:val="36"/>
          <w:szCs w:val="36"/>
        </w:rPr>
        <w:t>吉林省符合国家规定范围的艰苦边远地区名单</w:t>
      </w:r>
    </w:p>
    <w:p w:rsidR="005F5AC4" w:rsidRPr="000244EB" w:rsidRDefault="005F5AC4" w:rsidP="005F5AC4">
      <w:pPr>
        <w:pStyle w:val="a5"/>
        <w:spacing w:beforeLines="50" w:beforeAutospacing="0" w:afterLines="50" w:afterAutospacing="0"/>
        <w:rPr>
          <w:rFonts w:ascii="仿宋" w:eastAsia="仿宋" w:hAnsi="仿宋"/>
          <w:color w:val="000000"/>
          <w:sz w:val="32"/>
          <w:szCs w:val="32"/>
        </w:rPr>
      </w:pPr>
      <w:r w:rsidRPr="000244EB">
        <w:rPr>
          <w:rFonts w:ascii="仿宋" w:eastAsia="仿宋" w:hAnsi="仿宋" w:hint="eastAsia"/>
          <w:bCs/>
          <w:color w:val="000000"/>
          <w:sz w:val="32"/>
          <w:szCs w:val="32"/>
        </w:rPr>
        <w:t>榆树市、大安市、镇赉县、通榆县、长岭县、乾安县、舒兰市、伊通满族自治县、东辽县、集安市、柳河县、浑江区、临江市、江源区、抚松县、靖宇县、长白朝鲜族自治县、延吉市、图们市、敦化市、珲春市、龙井市、和龙市、汪清县、安图县、长白山保护开发区</w:t>
      </w:r>
    </w:p>
    <w:p w:rsidR="009C7A47" w:rsidRPr="005F5AC4" w:rsidRDefault="009C7A47"/>
    <w:sectPr w:rsidR="009C7A47" w:rsidRPr="005F5AC4" w:rsidSect="009C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AF" w:rsidRDefault="00A065AF" w:rsidP="005F5AC4">
      <w:r>
        <w:separator/>
      </w:r>
    </w:p>
  </w:endnote>
  <w:endnote w:type="continuationSeparator" w:id="0">
    <w:p w:rsidR="00A065AF" w:rsidRDefault="00A065AF" w:rsidP="005F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AF" w:rsidRDefault="00A065AF" w:rsidP="005F5AC4">
      <w:r>
        <w:separator/>
      </w:r>
    </w:p>
  </w:footnote>
  <w:footnote w:type="continuationSeparator" w:id="0">
    <w:p w:rsidR="00A065AF" w:rsidRDefault="00A065AF" w:rsidP="005F5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AC4"/>
    <w:rsid w:val="005F5AC4"/>
    <w:rsid w:val="009C7A47"/>
    <w:rsid w:val="00A0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AC4"/>
    <w:rPr>
      <w:sz w:val="18"/>
      <w:szCs w:val="18"/>
    </w:rPr>
  </w:style>
  <w:style w:type="paragraph" w:styleId="a5">
    <w:name w:val="Normal (Web)"/>
    <w:basedOn w:val="a"/>
    <w:rsid w:val="005F5AC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2015-04-10T06:51:00Z</dcterms:created>
  <dcterms:modified xsi:type="dcterms:W3CDTF">2015-04-10T06:51:00Z</dcterms:modified>
</cp:coreProperties>
</file>