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59" w:rsidRDefault="00506059" w:rsidP="00506059">
      <w:pPr>
        <w:pStyle w:val="a3"/>
        <w:spacing w:line="43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附件</w:t>
      </w:r>
      <w:r>
        <w:rPr>
          <w:rFonts w:ascii="Arial" w:hAnsi="Arial" w:cs="Arial"/>
          <w:sz w:val="16"/>
          <w:szCs w:val="16"/>
        </w:rPr>
        <w:t>2:</w:t>
      </w:r>
    </w:p>
    <w:p w:rsidR="00506059" w:rsidRDefault="00506059" w:rsidP="00506059">
      <w:pPr>
        <w:pStyle w:val="a3"/>
        <w:spacing w:line="432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　　</w:t>
      </w:r>
      <w:r>
        <w:rPr>
          <w:rStyle w:val="a4"/>
          <w:rFonts w:ascii="Arial" w:hAnsi="Arial" w:cs="Arial"/>
          <w:sz w:val="16"/>
          <w:szCs w:val="16"/>
        </w:rPr>
        <w:t>涂料税目征收范围注释</w:t>
      </w:r>
    </w:p>
    <w:p w:rsidR="00506059" w:rsidRDefault="00506059" w:rsidP="00506059">
      <w:pPr>
        <w:pStyle w:val="a3"/>
        <w:spacing w:line="43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　　涂料是指涂于物体表面能形成具有保护、装饰或特殊性能的固态涂膜的一类液体或固体材料之总称。</w:t>
      </w:r>
    </w:p>
    <w:p w:rsidR="00506059" w:rsidRDefault="00506059" w:rsidP="00506059">
      <w:pPr>
        <w:pStyle w:val="a3"/>
        <w:spacing w:line="43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　　涂料由主要成膜物质、次要成膜物质等构成。按主要成膜物质涂料可分为油脂类、天然树脂类、酚醛树脂类、沥青类、醇酸树脂类、氨基树脂类、硝基类、过滤乙烯树脂类、烯类树脂类、丙烯酸酯类树脂类、聚酯树脂类、环氧树脂类、聚氨酯树脂类、元素有机类、橡胶类、纤维素类、其他成膜物类等。</w:t>
      </w:r>
    </w:p>
    <w:p w:rsidR="00F415B0" w:rsidRPr="00506059" w:rsidRDefault="00F415B0"/>
    <w:sectPr w:rsidR="00F415B0" w:rsidRPr="0050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059"/>
    <w:rsid w:val="00506059"/>
    <w:rsid w:val="00F4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0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60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2015-03-13T01:45:00Z</dcterms:created>
  <dcterms:modified xsi:type="dcterms:W3CDTF">2015-03-13T01:45:00Z</dcterms:modified>
</cp:coreProperties>
</file>