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560" w:lineRule="exact"/>
        <w:jc w:val="left"/>
        <w:rPr>
          <w:rFonts w:hint="eastAsia" w:ascii="方正黑体_GBK" w:hAnsi="Times New Roman" w:eastAsia="方正黑体_GBK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sz w:val="32"/>
          <w:szCs w:val="32"/>
          <w:lang w:val="en-US" w:eastAsia="zh-CN"/>
        </w:rPr>
        <w:t>2</w:t>
      </w:r>
    </w:p>
    <w:p>
      <w:pPr>
        <w:widowControl/>
        <w:spacing w:line="590" w:lineRule="atLeast"/>
        <w:jc w:val="center"/>
        <w:rPr>
          <w:rFonts w:ascii="Times New Roman" w:hAnsi="Times New Roman" w:eastAsia="方正小标宋_GBK"/>
          <w:color w:val="000000"/>
          <w:spacing w:val="-1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pacing w:val="-10"/>
          <w:sz w:val="44"/>
          <w:szCs w:val="44"/>
        </w:rPr>
        <w:t>技工院校特色专业</w:t>
      </w:r>
      <w:r>
        <w:rPr>
          <w:rFonts w:ascii="Times New Roman" w:hAnsi="Times New Roman" w:eastAsia="方正小标宋_GBK"/>
          <w:color w:val="000000"/>
          <w:spacing w:val="-10"/>
          <w:sz w:val="44"/>
          <w:szCs w:val="44"/>
        </w:rPr>
        <w:t>项目建设工作方案</w:t>
      </w:r>
    </w:p>
    <w:p>
      <w:pPr>
        <w:widowControl/>
        <w:spacing w:line="590" w:lineRule="atLeast"/>
        <w:ind w:firstLine="210" w:firstLineChars="50"/>
        <w:rPr>
          <w:rFonts w:ascii="Times New Roman" w:hAnsi="Times New Roman" w:eastAsia="方正小标宋_GBK"/>
          <w:color w:val="000000"/>
          <w:spacing w:val="-10"/>
          <w:sz w:val="44"/>
          <w:szCs w:val="44"/>
        </w:rPr>
      </w:pPr>
    </w:p>
    <w:p>
      <w:pPr>
        <w:widowControl/>
        <w:spacing w:line="590" w:lineRule="atLeast"/>
        <w:ind w:firstLine="63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为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贯彻落实国家人社部《技工教育“十三五”规划》关于加强一流院校、一流专业建设精神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，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进一步提升我省技工院校专业建设水平，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根据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本年度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技工院校项目建设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总体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安排，特制定本方案。</w:t>
      </w:r>
    </w:p>
    <w:p>
      <w:pPr>
        <w:widowControl/>
        <w:spacing w:line="590" w:lineRule="atLeas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一、建设目标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/>
          <w:color w:val="000000"/>
          <w:spacing w:val="-10"/>
          <w:sz w:val="32"/>
          <w:szCs w:val="4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按照“中国制造2025”等国家发展战略和市场需求，重点支持技工院校建设10个与先进制造业、现代服务业、战略性新兴产业、地方支柱或特色产业发展相匹配的高端特色专业，推动全省技工教育内涵建设高质量发展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  <w:lang w:eastAsia="zh-CN"/>
        </w:rPr>
        <w:t>，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  <w:highlight w:val="none"/>
          <w:lang w:val="en-US" w:eastAsia="zh-CN"/>
        </w:rPr>
        <w:t>已建项目不得重复申报</w:t>
      </w:r>
      <w:r>
        <w:rPr>
          <w:rFonts w:hint="default" w:ascii="Times New Roman" w:hAnsi="Times New Roman" w:eastAsia="方正仿宋_GBK"/>
          <w:color w:val="000000"/>
          <w:spacing w:val="-10"/>
          <w:sz w:val="32"/>
          <w:szCs w:val="48"/>
          <w:highlight w:val="none"/>
        </w:rPr>
        <w:t>。</w:t>
      </w:r>
    </w:p>
    <w:p>
      <w:pPr>
        <w:widowControl/>
        <w:spacing w:line="590" w:lineRule="atLeas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二、重点任务</w:t>
      </w:r>
    </w:p>
    <w:p>
      <w:pPr>
        <w:spacing w:line="590" w:lineRule="atLeast"/>
        <w:ind w:firstLine="600" w:firstLineChars="20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hint="eastAsia" w:ascii="方正楷体_GBK" w:hAnsi="Times New Roman" w:eastAsia="方正楷体_GBK"/>
          <w:color w:val="000000"/>
          <w:spacing w:val="-10"/>
          <w:sz w:val="32"/>
          <w:szCs w:val="48"/>
        </w:rPr>
        <w:t>（一）优化专业基础条件。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 xml:space="preserve">完善专业人才培养方案及课程体系，推进精品课程建设，开发高水平专业教材及数字化教辅资源。改善实习、实训条件，加强教学实践过程管理。推进专业教学条件建设，确保专业教学用房、实习实训场地、教学仪器设备等教学资源充分满足专业教学需要，并处于省内领先水平。 </w:t>
      </w:r>
    </w:p>
    <w:p>
      <w:pPr>
        <w:spacing w:line="590" w:lineRule="atLeast"/>
        <w:ind w:firstLine="600" w:firstLineChars="20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hint="eastAsia" w:ascii="方正楷体_GBK" w:hAnsi="Times New Roman" w:eastAsia="方正楷体_GBK"/>
          <w:color w:val="000000"/>
          <w:spacing w:val="-10"/>
          <w:sz w:val="32"/>
          <w:szCs w:val="48"/>
        </w:rPr>
        <w:t>（二）加强师资队伍建设。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制定并实施体现专业特点的教师管理制度，强化名师、专业带头人选拔培养，加强“一体化”教师队伍建设，加大师资培养培训力度。培养一批教学水平高、职业素养优良的中青年骨干教师，打造一批省内领先、全国知名的优秀专业教学团队。</w:t>
      </w:r>
    </w:p>
    <w:p>
      <w:pPr>
        <w:spacing w:line="590" w:lineRule="atLeast"/>
        <w:ind w:firstLine="600" w:firstLineChars="20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hint="eastAsia" w:ascii="方正楷体_GBK" w:hAnsi="Times New Roman" w:eastAsia="方正楷体_GBK"/>
          <w:color w:val="000000"/>
          <w:spacing w:val="-10"/>
          <w:sz w:val="32"/>
          <w:szCs w:val="48"/>
        </w:rPr>
        <w:t>（三）职业技能竞赛引领作用突出。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积极参与各级各类职业技能竞赛，并在竞赛中取得优异成绩。对接世界技能大赛标准和规范，紧贴行业企业最新技术工艺，开办“青苗班”，培养“大国工匠”后备技能人才。着力研究竞赛标准与专业建设的有效融合，注重竞赛成果转化，努力形成“以赛促教、以赛促建”的良性循环体系。</w:t>
      </w:r>
    </w:p>
    <w:p>
      <w:pPr>
        <w:spacing w:line="590" w:lineRule="atLeast"/>
        <w:ind w:firstLine="600" w:firstLineChars="20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hint="eastAsia" w:ascii="方正楷体_GBK" w:hAnsi="Times New Roman" w:eastAsia="方正楷体_GBK"/>
          <w:color w:val="000000"/>
          <w:spacing w:val="-10"/>
          <w:sz w:val="32"/>
          <w:szCs w:val="48"/>
        </w:rPr>
        <w:t>（四）推行“一体化”课程教学改革。</w:t>
      </w:r>
      <w:r>
        <w:rPr>
          <w:rFonts w:hint="eastAsia" w:ascii="方正仿宋_GBK" w:hAnsi="Times New Roman" w:eastAsia="方正仿宋_GBK"/>
          <w:color w:val="000000"/>
          <w:spacing w:val="-10"/>
          <w:sz w:val="32"/>
          <w:szCs w:val="48"/>
        </w:rPr>
        <w:t>按照人社部“一体化”课程教学改革要求，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对接地区产业发展现状，以国家职业标准为依据，以综合职业能力培养为目标，以典型工作任务为载体，以学生为中心，建立一批以职业活动为导向、以校企合作为基础、以综合职业能力培养为核心，理论教学与技能操作融合贯通的专业“一体化”课程体系，提高技能人才培养质量。</w:t>
      </w:r>
    </w:p>
    <w:p>
      <w:pPr>
        <w:spacing w:line="590" w:lineRule="atLeast"/>
        <w:ind w:firstLine="600" w:firstLineChars="20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hint="eastAsia" w:ascii="方正楷体_GBK" w:hAnsi="Times New Roman" w:eastAsia="方正楷体_GBK"/>
          <w:color w:val="000000"/>
          <w:spacing w:val="-10"/>
          <w:sz w:val="32"/>
          <w:szCs w:val="48"/>
        </w:rPr>
        <w:t>（五）深化产教融合校企合作。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推动特色专业完善与行业、企业协同育人的有效模式，建立健全校企联合育人机制，促进专业教学与人才培养需求紧密对接。完善产教融合校企合作机制，深入推进专业办学与行业、企业密切合作。</w:t>
      </w:r>
    </w:p>
    <w:p>
      <w:pPr>
        <w:spacing w:line="590" w:lineRule="atLeast"/>
        <w:ind w:firstLine="600" w:firstLineChars="200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hint="eastAsia" w:ascii="方正楷体_GBK" w:hAnsi="Times New Roman" w:eastAsia="方正楷体_GBK"/>
          <w:color w:val="000000"/>
          <w:spacing w:val="-10"/>
          <w:sz w:val="32"/>
          <w:szCs w:val="48"/>
        </w:rPr>
        <w:t>（六）推进专业办学国际化。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借鉴国外优质职业教育理念、课程体系、教学资源和教学手段并有效本土化，引进国际通用职业资格证书及师资培训体系，以高端特色引领带动技工教育内涵式发展，推进技工院校改革创新和专业办学质量的全面提升，培养具有国际技工教育背景的高技能人才。</w:t>
      </w:r>
    </w:p>
    <w:p>
      <w:pPr>
        <w:spacing w:line="590" w:lineRule="atLeast"/>
        <w:ind w:firstLine="600" w:firstLineChars="20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hint="eastAsia" w:ascii="方正楷体_GBK" w:hAnsi="Times New Roman" w:eastAsia="方正楷体_GBK"/>
          <w:color w:val="000000"/>
          <w:spacing w:val="-10"/>
          <w:sz w:val="32"/>
          <w:szCs w:val="48"/>
        </w:rPr>
        <w:t>（七）加强职业技能培训工作。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加强专业人才培养，积极参与社会服务和技能服务活动，面向社会开展专业技能培训服务，承接和开发社会培训项目，为行业企业和社会有需要人员开展多中形式的职业技能培训服务。</w:t>
      </w:r>
    </w:p>
    <w:p>
      <w:pPr>
        <w:widowControl/>
        <w:spacing w:line="590" w:lineRule="atLeas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三、项目申报</w:t>
      </w:r>
    </w:p>
    <w:p>
      <w:pPr>
        <w:widowControl/>
        <w:spacing w:line="590" w:lineRule="atLeas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（一）申报条件</w:t>
      </w:r>
    </w:p>
    <w:p>
      <w:pPr>
        <w:spacing w:line="590" w:lineRule="atLeast"/>
        <w:ind w:firstLine="600" w:firstLineChars="20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ascii="Times New Roman" w:hAnsi="Times New Roman" w:eastAsia="方正仿宋_GBK"/>
          <w:b/>
          <w:color w:val="000000"/>
          <w:spacing w:val="-10"/>
          <w:sz w:val="32"/>
          <w:szCs w:val="48"/>
        </w:rPr>
        <w:t>1.</w:t>
      </w:r>
      <w:r>
        <w:rPr>
          <w:rFonts w:hint="eastAsia" w:ascii="Times New Roman" w:hAnsi="Times New Roman" w:eastAsia="方正仿宋_GBK"/>
          <w:b/>
          <w:color w:val="000000"/>
          <w:spacing w:val="-10"/>
          <w:sz w:val="32"/>
          <w:szCs w:val="48"/>
        </w:rPr>
        <w:t xml:space="preserve"> 专业</w:t>
      </w:r>
      <w:r>
        <w:rPr>
          <w:rFonts w:ascii="Times New Roman" w:hAnsi="Times New Roman" w:eastAsia="方正仿宋_GBK"/>
          <w:b/>
          <w:color w:val="000000"/>
          <w:spacing w:val="-10"/>
          <w:sz w:val="32"/>
          <w:szCs w:val="48"/>
        </w:rPr>
        <w:t>建设基础。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申报项目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的专业须与先进制造业、现代服务业、战略性新兴产业、地方支柱或特色产业相匹配，学制教育在校生规模不少于200人，具有完备的人才培养方案和课程体系，有省级精品课程，具备特色教材及数字化教辅资源开发能力，生均实习实训场地建筑面积不少于5平方米，设施设备在全省范围内具备先进性，总值不少于500万元，实习工位数满足两人一岗要求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。</w:t>
      </w:r>
    </w:p>
    <w:p>
      <w:pPr>
        <w:spacing w:line="590" w:lineRule="atLeast"/>
        <w:ind w:firstLine="600" w:firstLineChars="200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2"/>
          <w:szCs w:val="48"/>
        </w:rPr>
        <w:t>2</w:t>
      </w:r>
      <w:r>
        <w:rPr>
          <w:rFonts w:ascii="Times New Roman" w:hAnsi="Times New Roman" w:eastAsia="方正仿宋_GBK"/>
          <w:b/>
          <w:color w:val="000000"/>
          <w:spacing w:val="-10"/>
          <w:sz w:val="32"/>
          <w:szCs w:val="48"/>
        </w:rPr>
        <w:t>.</w:t>
      </w:r>
      <w:r>
        <w:rPr>
          <w:rFonts w:hint="eastAsia" w:ascii="Times New Roman" w:hAnsi="Times New Roman" w:eastAsia="方正仿宋_GBK"/>
          <w:b/>
          <w:color w:val="000000"/>
          <w:spacing w:val="-10"/>
          <w:sz w:val="32"/>
          <w:szCs w:val="48"/>
        </w:rPr>
        <w:t xml:space="preserve"> </w:t>
      </w:r>
      <w:r>
        <w:rPr>
          <w:rFonts w:ascii="Times New Roman" w:hAnsi="Times New Roman" w:eastAsia="方正仿宋_GBK"/>
          <w:b/>
          <w:color w:val="000000"/>
          <w:spacing w:val="-10"/>
          <w:sz w:val="32"/>
          <w:szCs w:val="48"/>
        </w:rPr>
        <w:t>师资</w:t>
      </w:r>
      <w:r>
        <w:rPr>
          <w:rFonts w:hint="eastAsia" w:ascii="Times New Roman" w:hAnsi="Times New Roman" w:eastAsia="方正仿宋_GBK"/>
          <w:b/>
          <w:color w:val="000000"/>
          <w:spacing w:val="-10"/>
          <w:sz w:val="32"/>
          <w:szCs w:val="48"/>
        </w:rPr>
        <w:t>团队条件</w:t>
      </w:r>
      <w:r>
        <w:rPr>
          <w:rFonts w:ascii="Times New Roman" w:hAnsi="Times New Roman" w:eastAsia="方正仿宋_GBK"/>
          <w:b/>
          <w:color w:val="000000"/>
          <w:spacing w:val="-10"/>
          <w:sz w:val="32"/>
          <w:szCs w:val="48"/>
        </w:rPr>
        <w:t>。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申报项目的专业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师生比不得少于1:20，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教师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总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数不得少于20人，其中具有高级职称或高级技师职业资格的人数不少于10人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，一体化率不低于70%，兼职教师数量不超过总数的30%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。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且注重教学名师、专业带头人培养和骨干教师培养培训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。</w:t>
      </w:r>
    </w:p>
    <w:p>
      <w:pPr>
        <w:spacing w:line="590" w:lineRule="atLeast"/>
        <w:ind w:firstLine="600" w:firstLineChars="20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2"/>
          <w:szCs w:val="48"/>
        </w:rPr>
        <w:t>3. 职业技能竞赛成果。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积极参加世界技能大赛取得优异成绩（全国选拔赛前10名以上），按照世赛标准建设集训基地，开办“青苗班”培养后备技能人才。承办过省级以上一类职业技能竞赛活动，获得过国家级一类职业技能竞赛前6名或省级一类职业技能竞赛前3名。</w:t>
      </w:r>
    </w:p>
    <w:p>
      <w:pPr>
        <w:spacing w:line="590" w:lineRule="atLeast"/>
        <w:ind w:firstLine="600" w:firstLineChars="200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2"/>
          <w:szCs w:val="48"/>
        </w:rPr>
        <w:t>4. 校企合作情况。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申报项目的专业实行校企合作办学基本制度，与5个以上大中型企业签订深度合作协议，开设了企业“订单班”、“冠名班”，校企共同招生招工、共商专业建设、共建实训基地、共搭管理平台、共评培养质量。</w:t>
      </w:r>
    </w:p>
    <w:p>
      <w:pPr>
        <w:spacing w:line="590" w:lineRule="atLeast"/>
        <w:ind w:firstLine="600" w:firstLineChars="20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2"/>
          <w:szCs w:val="48"/>
        </w:rPr>
        <w:t>5</w:t>
      </w:r>
      <w:r>
        <w:rPr>
          <w:rFonts w:ascii="Times New Roman" w:hAnsi="Times New Roman" w:eastAsia="方正仿宋_GBK"/>
          <w:b/>
          <w:color w:val="000000"/>
          <w:spacing w:val="-10"/>
          <w:sz w:val="32"/>
          <w:szCs w:val="48"/>
        </w:rPr>
        <w:t>.</w:t>
      </w:r>
      <w:r>
        <w:rPr>
          <w:rFonts w:hint="eastAsia" w:ascii="Times New Roman" w:hAnsi="Times New Roman" w:eastAsia="方正仿宋_GBK"/>
          <w:b/>
          <w:color w:val="000000"/>
          <w:spacing w:val="-10"/>
          <w:sz w:val="32"/>
          <w:szCs w:val="48"/>
        </w:rPr>
        <w:t xml:space="preserve"> 一体化课改情况</w:t>
      </w:r>
      <w:r>
        <w:rPr>
          <w:rFonts w:ascii="Times New Roman" w:hAnsi="Times New Roman" w:eastAsia="方正仿宋_GBK"/>
          <w:b/>
          <w:color w:val="000000"/>
          <w:spacing w:val="-10"/>
          <w:sz w:val="32"/>
          <w:szCs w:val="48"/>
        </w:rPr>
        <w:t>。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申报项目的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专业积极参与部、省一体化课改试点，或按照人社部一体化课改标准自行实施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。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制定了规范的一体化人才培养方案、主干课程标准，开发了一体化教材及工作页。</w:t>
      </w:r>
    </w:p>
    <w:p>
      <w:pPr>
        <w:spacing w:line="590" w:lineRule="atLeast"/>
        <w:ind w:firstLine="600" w:firstLineChars="20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2"/>
          <w:szCs w:val="48"/>
        </w:rPr>
        <w:t>6. 国际化办学水平。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申报项目的专业积极参与新时期教育对外开放工作，与德国、英国等国行业协会、培训机构、职业院校合作开展中外合作办学，引进国际通用职业资格证书。</w:t>
      </w:r>
    </w:p>
    <w:p>
      <w:pPr>
        <w:spacing w:line="590" w:lineRule="atLeast"/>
        <w:ind w:firstLine="600" w:firstLineChars="20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2"/>
          <w:szCs w:val="48"/>
        </w:rPr>
        <w:t>7. 社会服务质量。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申报项目的专业近三年学制教育毕业生就业率超97%，用人单位满意率超85%，年职业技能培训规模超200人（其中高技能人才占50%以上）。</w:t>
      </w:r>
    </w:p>
    <w:p>
      <w:pPr>
        <w:widowControl/>
        <w:spacing w:line="590" w:lineRule="atLeas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（二）申报程序</w:t>
      </w:r>
    </w:p>
    <w:p>
      <w:pPr>
        <w:spacing w:line="590" w:lineRule="atLeast"/>
        <w:ind w:firstLine="63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1. 各设区市人力资源社会保障局根据申报条件要求，按照“公平、公正、公开”原则，开展本地区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技工院校特色专业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项目预审、遴选工作，确定本市候选项目并严格按优先顺序排序。在预审和遴选工作中，要严格把握标准、规范操作程序，确保申报项目符合条件。</w:t>
      </w:r>
    </w:p>
    <w:p>
      <w:pPr>
        <w:spacing w:line="590" w:lineRule="atLeast"/>
        <w:ind w:firstLine="600" w:firstLineChars="20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2. 省人力资源社会保障厅组织专家对各地推荐申报的项目进行评审，确定拟建项目并经公示无异议后，报省财政厅进行项目预算审核。</w:t>
      </w:r>
    </w:p>
    <w:p>
      <w:pPr>
        <w:widowControl/>
        <w:spacing w:line="590" w:lineRule="atLeas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（三）项目经费</w:t>
      </w:r>
    </w:p>
    <w:p>
      <w:pPr>
        <w:widowControl/>
        <w:spacing w:line="590" w:lineRule="atLeast"/>
        <w:ind w:firstLine="640" w:firstLineChars="20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hint="eastAsia" w:ascii="Times New Roman" w:hAnsi="Times New Roman" w:eastAsia="方正仿宋_GBK"/>
          <w:sz w:val="32"/>
          <w:szCs w:val="32"/>
        </w:rPr>
        <w:t>技工院校特色专业</w:t>
      </w:r>
      <w:r>
        <w:rPr>
          <w:rFonts w:ascii="Times New Roman" w:hAnsi="Times New Roman" w:eastAsia="方正仿宋_GBK"/>
          <w:sz w:val="32"/>
          <w:szCs w:val="32"/>
        </w:rPr>
        <w:t>的实施周期一般为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年，项目所在学校要多渠道筹措培养经费，积极争取行业、企业和社会各方投入，省财政对立项建设的</w:t>
      </w:r>
      <w:r>
        <w:rPr>
          <w:rFonts w:hint="eastAsia" w:ascii="Times New Roman" w:hAnsi="Times New Roman" w:eastAsia="方正仿宋_GBK"/>
          <w:sz w:val="32"/>
          <w:szCs w:val="32"/>
        </w:rPr>
        <w:t>专业</w:t>
      </w:r>
      <w:r>
        <w:rPr>
          <w:rFonts w:ascii="Times New Roman" w:hAnsi="Times New Roman" w:eastAsia="方正仿宋_GBK"/>
          <w:sz w:val="32"/>
          <w:szCs w:val="32"/>
        </w:rPr>
        <w:t>给予100万元/</w:t>
      </w:r>
      <w:r>
        <w:rPr>
          <w:rFonts w:hint="eastAsia" w:ascii="Times New Roman" w:hAnsi="Times New Roman" w:eastAsia="方正仿宋_GBK"/>
          <w:sz w:val="32"/>
          <w:szCs w:val="32"/>
        </w:rPr>
        <w:t>个</w:t>
      </w:r>
      <w:r>
        <w:rPr>
          <w:rFonts w:ascii="Times New Roman" w:hAnsi="Times New Roman" w:eastAsia="方正仿宋_GBK"/>
          <w:sz w:val="32"/>
          <w:szCs w:val="32"/>
        </w:rPr>
        <w:t>的经费支持，各设区市应加大项目扶持力度，共同推动项目建设。</w:t>
      </w:r>
    </w:p>
    <w:p>
      <w:pPr>
        <w:widowControl/>
        <w:spacing w:line="590" w:lineRule="atLeas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四、项目保障</w:t>
      </w:r>
    </w:p>
    <w:p>
      <w:pPr>
        <w:widowControl/>
        <w:spacing w:line="590" w:lineRule="atLeast"/>
        <w:ind w:firstLine="480" w:firstLineChars="15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（一）加强组织领导。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各技工院校应建立由院（校）长牵头，分管院（校）长具体负责的项目实施领导小组，加强对项目申报及建设工作的组织领导，同时应组建由技工院校、合作企业、政府及行业相关部门组成的领导协调小组共同推进项目建设工作。</w:t>
      </w:r>
    </w:p>
    <w:p>
      <w:pPr>
        <w:widowControl/>
        <w:spacing w:line="590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（二）实施过程管理。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加强对项目建设过程的管理，各项目建设单位定期报送企业投入、实训设备更新、实训平台使用等方面的信息，为分析、评估实训平台建设、运行状况，提高项目实施的科学性、导向性和实效性提供依据。</w:t>
      </w:r>
    </w:p>
    <w:p>
      <w:pPr>
        <w:spacing w:line="590" w:lineRule="atLeast"/>
        <w:ind w:firstLine="630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  <w:r>
        <w:rPr>
          <w:rFonts w:ascii="Times New Roman" w:hAnsi="Times New Roman" w:eastAsia="方正楷体_GBK"/>
          <w:sz w:val="32"/>
          <w:szCs w:val="32"/>
        </w:rPr>
        <w:t>（三）强化绩效考核。</w:t>
      </w: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项目建设期满后，由省人力资源和社会保障厅、省财政厅联合对项目验收。对建设成效显著、运行机制完善、绩效特别突出的项目，在安排相关专项资金时予以倾斜。对建设措施不力、绩效不合格的项目，由省人力资源和社会保障厅、省财政厅责令整改，整改仍不合格的，则相应扣回已拨的专项资金。如存在违规违法行为，按照《财政违法行为处罚处分条例》等法规的有关规定追究有关负责人的责任。</w:t>
      </w:r>
    </w:p>
    <w:p>
      <w:pPr>
        <w:spacing w:line="590" w:lineRule="atLeast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spacing w:line="590" w:lineRule="atLeast"/>
        <w:rPr>
          <w:rFonts w:ascii="Times New Roman" w:hAnsi="Times New Roman" w:eastAsia="方正仿宋_GBK"/>
          <w:color w:val="000000"/>
          <w:spacing w:val="-10"/>
          <w:sz w:val="32"/>
          <w:szCs w:val="48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江苏省技工院校特色专业</w:t>
      </w:r>
    </w:p>
    <w:p>
      <w:pPr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申  报  书</w:t>
      </w:r>
    </w:p>
    <w:p/>
    <w:p/>
    <w:p/>
    <w:p/>
    <w:p/>
    <w:p/>
    <w:p>
      <w:pPr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院校名称：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专业名称：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专业大类：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专业代码：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ind w:firstLine="1575" w:firstLineChars="750"/>
        <w:jc w:val="left"/>
        <w:outlineLvl w:val="0"/>
        <w:rPr>
          <w:rFonts w:ascii="方正仿宋_GBK" w:hAnsi="仿宋_GB2312" w:eastAsia="方正仿宋_GBK"/>
          <w:color w:val="000000"/>
          <w:spacing w:val="-10"/>
          <w:sz w:val="32"/>
          <w:szCs w:val="48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138430</wp:posOffset>
                </wp:positionV>
                <wp:extent cx="571500" cy="4953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hAnsi="仿宋_GB2312" w:eastAsia="方正仿宋_GBK"/>
                                <w:color w:val="000000"/>
                                <w:spacing w:val="-10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仿宋_GBK" w:hAnsi="仿宋_GB2312" w:eastAsia="方正仿宋_GBK"/>
                                <w:color w:val="000000"/>
                                <w:spacing w:val="-10"/>
                                <w:sz w:val="32"/>
                                <w:szCs w:val="48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95pt;margin-top:10.9pt;height:39pt;width:45pt;z-index:251670528;mso-width-relative:page;mso-height-relative:page;" filled="f" stroked="f" coordsize="21600,21600" o:gfxdata="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tbmUV1QAAAAkBAAAPAAAAAAAAAAEAIAAAACIAAABkcnMvZG93bnJldi54&#10;bWxQSwECFAAUAAAACACHTuJAuY7k5P0BAADUAwAADgAAAAAAAAABACAAAAAk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hAnsi="仿宋_GB2312" w:eastAsia="方正仿宋_GBK"/>
                          <w:color w:val="000000"/>
                          <w:spacing w:val="-10"/>
                          <w:sz w:val="32"/>
                          <w:szCs w:val="48"/>
                        </w:rPr>
                      </w:pPr>
                      <w:r>
                        <w:rPr>
                          <w:rFonts w:hint="eastAsia" w:ascii="方正仿宋_GBK" w:hAnsi="仿宋_GB2312" w:eastAsia="方正仿宋_GBK"/>
                          <w:color w:val="000000"/>
                          <w:spacing w:val="-10"/>
                          <w:sz w:val="32"/>
                          <w:szCs w:val="48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仿宋_GB2312" w:eastAsia="方正仿宋_GBK"/>
          <w:color w:val="000000"/>
          <w:spacing w:val="-10"/>
          <w:sz w:val="32"/>
          <w:szCs w:val="48"/>
        </w:rPr>
        <w:t>江苏省人力资源社会保障厅</w:t>
      </w:r>
    </w:p>
    <w:p>
      <w:pPr>
        <w:ind w:firstLine="1650" w:firstLineChars="550"/>
        <w:outlineLvl w:val="0"/>
        <w:rPr>
          <w:rFonts w:ascii="仿宋_GB2312" w:eastAsia="仿宋_GB2312"/>
          <w:spacing w:val="10"/>
          <w:kern w:val="13"/>
          <w:sz w:val="30"/>
          <w:szCs w:val="30"/>
        </w:rPr>
      </w:pPr>
      <w:r>
        <w:rPr>
          <w:rFonts w:hint="eastAsia" w:ascii="方正仿宋_GBK" w:hAnsi="仿宋_GB2312" w:eastAsia="方正仿宋_GBK"/>
          <w:color w:val="000000"/>
          <w:spacing w:val="-10"/>
          <w:sz w:val="32"/>
          <w:szCs w:val="48"/>
        </w:rPr>
        <w:t>江   苏  省   财  政  厅</w:t>
      </w:r>
    </w:p>
    <w:p>
      <w:pPr>
        <w:jc w:val="center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sz w:val="32"/>
          <w:szCs w:val="32"/>
        </w:rPr>
        <w:t>月</w:t>
      </w: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spacing w:line="590" w:lineRule="exact"/>
        <w:outlineLvl w:val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填报说明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1．</w:t>
      </w:r>
      <w:r>
        <w:rPr>
          <w:rFonts w:hint="eastAsia" w:ascii="Times New Roman" w:hAnsi="Times New Roman" w:eastAsia="方正仿宋_GBK"/>
          <w:bCs/>
          <w:sz w:val="28"/>
          <w:szCs w:val="28"/>
        </w:rPr>
        <w:t>专业代码</w:t>
      </w:r>
      <w:r>
        <w:rPr>
          <w:rFonts w:ascii="Times New Roman" w:hAnsi="Times New Roman" w:eastAsia="方正仿宋_GBK"/>
          <w:bCs/>
          <w:sz w:val="28"/>
          <w:szCs w:val="28"/>
        </w:rPr>
        <w:t>：</w:t>
      </w:r>
      <w:r>
        <w:rPr>
          <w:rFonts w:hint="eastAsia" w:ascii="Times New Roman" w:hAnsi="Times New Roman" w:eastAsia="方正仿宋_GBK"/>
          <w:bCs/>
          <w:sz w:val="28"/>
          <w:szCs w:val="28"/>
        </w:rPr>
        <w:t>在《全国技工院校专业目录（2018年修订）》中查找</w:t>
      </w:r>
      <w:r>
        <w:rPr>
          <w:rFonts w:ascii="Times New Roman" w:hAnsi="Times New Roman" w:eastAsia="方正仿宋_GBK"/>
          <w:bCs/>
          <w:sz w:val="28"/>
          <w:szCs w:val="28"/>
        </w:rPr>
        <w:t>；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2．自筹经费：包括专项经费、社会培训、技术服务等收入费用；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eastAsia" w:ascii="Times New Roman" w:hAnsi="Times New Roman" w:eastAsia="方正仿宋_GBK"/>
          <w:bCs/>
          <w:sz w:val="28"/>
          <w:szCs w:val="28"/>
        </w:rPr>
        <w:t>3</w:t>
      </w:r>
      <w:r>
        <w:rPr>
          <w:rFonts w:ascii="Times New Roman" w:hAnsi="Times New Roman" w:eastAsia="方正仿宋_GBK"/>
          <w:bCs/>
          <w:sz w:val="28"/>
          <w:szCs w:val="28"/>
        </w:rPr>
        <w:t>．兼职教师：指正式聘任来校授课的行业、企业及社会中的专业技术人员和能工巧匠，按承担教学任务160学时折算为1人标准计算；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eastAsia" w:ascii="Times New Roman" w:hAnsi="Times New Roman" w:eastAsia="方正仿宋_GBK"/>
          <w:bCs/>
          <w:sz w:val="28"/>
          <w:szCs w:val="28"/>
        </w:rPr>
        <w:t>4</w:t>
      </w:r>
      <w:r>
        <w:rPr>
          <w:rFonts w:ascii="Times New Roman" w:hAnsi="Times New Roman" w:eastAsia="方正仿宋_GBK"/>
          <w:bCs/>
          <w:sz w:val="28"/>
          <w:szCs w:val="28"/>
        </w:rPr>
        <w:t>．教学</w:t>
      </w:r>
      <w:r>
        <w:rPr>
          <w:rFonts w:hint="eastAsia" w:ascii="Times New Roman" w:hAnsi="Times New Roman" w:eastAsia="方正仿宋_GBK"/>
          <w:bCs/>
          <w:sz w:val="28"/>
          <w:szCs w:val="28"/>
        </w:rPr>
        <w:t>设施</w:t>
      </w:r>
      <w:r>
        <w:rPr>
          <w:rFonts w:ascii="Times New Roman" w:hAnsi="Times New Roman" w:eastAsia="方正仿宋_GBK"/>
          <w:bCs/>
          <w:sz w:val="28"/>
          <w:szCs w:val="28"/>
        </w:rPr>
        <w:t>设备：单价在1000元以上的用于教学的</w:t>
      </w:r>
      <w:r>
        <w:rPr>
          <w:rFonts w:hint="eastAsia" w:ascii="Times New Roman" w:hAnsi="Times New Roman" w:eastAsia="方正仿宋_GBK"/>
          <w:bCs/>
          <w:sz w:val="28"/>
          <w:szCs w:val="28"/>
        </w:rPr>
        <w:t>设施</w:t>
      </w:r>
      <w:r>
        <w:rPr>
          <w:rFonts w:ascii="Times New Roman" w:hAnsi="Times New Roman" w:eastAsia="方正仿宋_GBK"/>
          <w:bCs/>
          <w:sz w:val="28"/>
          <w:szCs w:val="28"/>
        </w:rPr>
        <w:t xml:space="preserve">设备； 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eastAsia" w:ascii="Times New Roman" w:hAnsi="Times New Roman" w:eastAsia="方正仿宋_GBK"/>
          <w:bCs/>
          <w:sz w:val="28"/>
          <w:szCs w:val="28"/>
        </w:rPr>
        <w:t>5</w:t>
      </w:r>
      <w:r>
        <w:rPr>
          <w:rFonts w:ascii="Times New Roman" w:hAnsi="Times New Roman" w:eastAsia="方正仿宋_GBK"/>
          <w:bCs/>
          <w:sz w:val="28"/>
          <w:szCs w:val="28"/>
        </w:rPr>
        <w:t xml:space="preserve">．大型教学仪器设备：单价高于5万元的用于教学的仪器设备； 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eastAsia" w:ascii="Times New Roman" w:hAnsi="Times New Roman" w:eastAsia="方正仿宋_GBK"/>
          <w:bCs/>
          <w:sz w:val="28"/>
          <w:szCs w:val="28"/>
        </w:rPr>
        <w:t>6</w:t>
      </w:r>
      <w:r>
        <w:rPr>
          <w:rFonts w:ascii="Times New Roman" w:hAnsi="Times New Roman" w:eastAsia="方正仿宋_GBK"/>
          <w:bCs/>
          <w:sz w:val="28"/>
          <w:szCs w:val="28"/>
        </w:rPr>
        <w:t>. 行业企业经历教师：指专任教师中具有与本专业相关的行业、企业两年以上工作经历的教师。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注：申报学校应如实填写本表各项数据，如有弄虚作假将取消评审资格。</w:t>
      </w: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"/>
          <w:sz w:val="32"/>
          <w:szCs w:val="32"/>
        </w:rPr>
      </w:pPr>
    </w:p>
    <w:p>
      <w:pPr>
        <w:jc w:val="both"/>
        <w:rPr>
          <w:rFonts w:ascii="Times New Roman" w:hAnsi="Times New Roman" w:eastAsia="仿宋"/>
          <w:sz w:val="32"/>
          <w:szCs w:val="32"/>
        </w:rPr>
      </w:pPr>
    </w:p>
    <w:p>
      <w:pPr>
        <w:spacing w:line="360" w:lineRule="auto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一、申报专业基本情况</w:t>
      </w:r>
    </w:p>
    <w:tbl>
      <w:tblPr>
        <w:tblStyle w:val="3"/>
        <w:tblW w:w="910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388"/>
        <w:gridCol w:w="147"/>
        <w:gridCol w:w="624"/>
        <w:gridCol w:w="601"/>
        <w:gridCol w:w="57"/>
        <w:gridCol w:w="991"/>
        <w:gridCol w:w="283"/>
        <w:gridCol w:w="68"/>
        <w:gridCol w:w="641"/>
        <w:gridCol w:w="61"/>
        <w:gridCol w:w="327"/>
        <w:gridCol w:w="573"/>
        <w:gridCol w:w="23"/>
        <w:gridCol w:w="877"/>
        <w:gridCol w:w="974"/>
        <w:gridCol w:w="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5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黑体"/>
                <w:b/>
                <w:bCs/>
                <w:position w:val="6"/>
              </w:rPr>
            </w:pPr>
          </w:p>
          <w:p>
            <w:pPr>
              <w:rPr>
                <w:rFonts w:eastAsia="黑体"/>
                <w:b/>
                <w:bCs/>
                <w:position w:val="6"/>
              </w:rPr>
            </w:pPr>
            <w:r>
              <w:rPr>
                <w:rFonts w:hint="eastAsia" w:eastAsia="黑体"/>
                <w:b/>
                <w:position w:val="6"/>
              </w:rPr>
              <w:t>基本信息</w:t>
            </w:r>
          </w:p>
        </w:tc>
        <w:tc>
          <w:tcPr>
            <w:tcW w:w="15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6993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15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专业名称</w:t>
            </w:r>
          </w:p>
        </w:tc>
        <w:tc>
          <w:tcPr>
            <w:tcW w:w="227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专业代码</w:t>
            </w:r>
          </w:p>
        </w:tc>
        <w:tc>
          <w:tcPr>
            <w:tcW w:w="1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5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15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全日制在校学生（人）</w:t>
            </w:r>
          </w:p>
        </w:tc>
        <w:tc>
          <w:tcPr>
            <w:tcW w:w="1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通信地址</w:t>
            </w:r>
          </w:p>
        </w:tc>
        <w:tc>
          <w:tcPr>
            <w:tcW w:w="699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15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</w:t>
            </w: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  名</w:t>
            </w:r>
          </w:p>
        </w:tc>
        <w:tc>
          <w:tcPr>
            <w:tcW w:w="1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职务职称</w:t>
            </w:r>
          </w:p>
        </w:tc>
        <w:tc>
          <w:tcPr>
            <w:tcW w:w="1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15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办公室电话</w:t>
            </w:r>
          </w:p>
        </w:tc>
        <w:tc>
          <w:tcPr>
            <w:tcW w:w="1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  真</w:t>
            </w:r>
          </w:p>
        </w:tc>
        <w:tc>
          <w:tcPr>
            <w:tcW w:w="1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15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     机</w:t>
            </w:r>
          </w:p>
        </w:tc>
        <w:tc>
          <w:tcPr>
            <w:tcW w:w="1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1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574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黑体"/>
                <w:b/>
                <w:position w:val="6"/>
              </w:rPr>
            </w:pPr>
            <w:r>
              <w:rPr>
                <w:rFonts w:hint="eastAsia" w:eastAsia="黑体"/>
                <w:b/>
                <w:position w:val="6"/>
              </w:rPr>
              <w:t>场地与设施设备</w:t>
            </w:r>
          </w:p>
        </w:tc>
        <w:tc>
          <w:tcPr>
            <w:tcW w:w="2817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实验实训场所占地面积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（平方米）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实验实训场所建筑面积（平方米）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教学设施设备</w:t>
            </w:r>
          </w:p>
        </w:tc>
        <w:tc>
          <w:tcPr>
            <w:tcW w:w="1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总值（万元）</w:t>
            </w:r>
          </w:p>
        </w:tc>
        <w:tc>
          <w:tcPr>
            <w:tcW w:w="13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5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大型教学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仪器设备</w:t>
            </w:r>
          </w:p>
        </w:tc>
        <w:tc>
          <w:tcPr>
            <w:tcW w:w="1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数量（台／套）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生均（元）</w:t>
            </w:r>
          </w:p>
        </w:tc>
        <w:tc>
          <w:tcPr>
            <w:tcW w:w="13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5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总值（万元）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27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实验实训设备的使用率（％）</w:t>
            </w:r>
          </w:p>
        </w:tc>
        <w:tc>
          <w:tcPr>
            <w:tcW w:w="57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rFonts w:eastAsia="黑体"/>
                <w:b/>
                <w:bCs/>
                <w:position w:val="6"/>
              </w:rPr>
            </w:pPr>
            <w:r>
              <w:rPr>
                <w:rFonts w:hint="eastAsia" w:eastAsia="黑体"/>
                <w:b/>
                <w:position w:val="6"/>
              </w:rPr>
              <w:t>办学经费与师资</w:t>
            </w:r>
          </w:p>
        </w:tc>
        <w:tc>
          <w:tcPr>
            <w:tcW w:w="2817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20"/>
                <w:w w:val="90"/>
                <w:szCs w:val="21"/>
              </w:rPr>
            </w:pPr>
            <w:r>
              <w:rPr>
                <w:rFonts w:hint="eastAsia" w:ascii="仿宋_GB2312" w:eastAsia="仿宋_GB2312"/>
                <w:w w:val="90"/>
                <w:szCs w:val="21"/>
              </w:rPr>
              <w:t>近三年专业投入经费</w:t>
            </w:r>
          </w:p>
        </w:tc>
        <w:tc>
          <w:tcPr>
            <w:tcW w:w="29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总额（万元）</w:t>
            </w:r>
          </w:p>
        </w:tc>
        <w:tc>
          <w:tcPr>
            <w:tcW w:w="27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生均（元）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2817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20"/>
                <w:w w:val="9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default"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10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default"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default"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default"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28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财政拨款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28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学费（含住宿费）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28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自筹经费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28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>其它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7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2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教职工总数（人）</w:t>
            </w:r>
          </w:p>
        </w:tc>
        <w:tc>
          <w:tcPr>
            <w:tcW w:w="1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专任教师数（人）</w:t>
            </w:r>
          </w:p>
        </w:tc>
        <w:tc>
          <w:tcPr>
            <w:tcW w:w="1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57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2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兼职教师数（人）</w:t>
            </w:r>
          </w:p>
        </w:tc>
        <w:tc>
          <w:tcPr>
            <w:tcW w:w="1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Chars="-42" w:right="420" w:hanging="88" w:hangingChars="4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具有行业企业经历的教师数（人）</w:t>
            </w:r>
          </w:p>
        </w:tc>
        <w:tc>
          <w:tcPr>
            <w:tcW w:w="1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57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518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“一体化”教师数（人）</w:t>
            </w:r>
          </w:p>
        </w:tc>
        <w:tc>
          <w:tcPr>
            <w:tcW w:w="33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/>
    <w:p/>
    <w:tbl>
      <w:tblPr>
        <w:tblStyle w:val="3"/>
        <w:tblW w:w="913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5" w:hRule="atLeast"/>
          <w:jc w:val="center"/>
        </w:trPr>
        <w:tc>
          <w:tcPr>
            <w:tcW w:w="577" w:type="dxa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rFonts w:eastAsia="黑体"/>
                <w:b/>
                <w:bCs/>
                <w:position w:val="6"/>
              </w:rPr>
            </w:pPr>
            <w:r>
              <w:rPr>
                <w:rFonts w:hint="eastAsia" w:eastAsia="黑体"/>
                <w:b/>
                <w:bCs/>
                <w:position w:val="6"/>
              </w:rPr>
              <w:t>建设基础</w:t>
            </w:r>
          </w:p>
          <w:p>
            <w:pPr>
              <w:rPr>
                <w:rFonts w:eastAsia="黑体"/>
                <w:b/>
                <w:bCs/>
                <w:position w:val="6"/>
              </w:rPr>
            </w:pPr>
          </w:p>
        </w:tc>
        <w:tc>
          <w:tcPr>
            <w:tcW w:w="855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从目前特色专业办学定位、人才培养、师资队伍、职业技能竞赛、一体化课改、校企合作、国际化办学、近三年办学成果与学生就业、社会评价等方面，采取的主要举措、形成的人才培养的经验、取得的成果等方面描述。</w:t>
            </w:r>
          </w:p>
          <w:p>
            <w:pPr>
              <w:spacing w:line="240" w:lineRule="exact"/>
              <w:ind w:right="210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ind w:left="-718" w:leftChars="-342" w:firstLine="588" w:firstLineChars="245"/>
        <w:rPr>
          <w:rFonts w:hint="eastAsia" w:eastAsia="黑体"/>
          <w:b w:val="0"/>
          <w:bCs/>
          <w:sz w:val="24"/>
        </w:rPr>
      </w:pPr>
    </w:p>
    <w:p>
      <w:pPr>
        <w:ind w:left="-718" w:leftChars="-342" w:firstLine="588" w:firstLineChars="245"/>
        <w:rPr>
          <w:rFonts w:hint="eastAsia" w:eastAsia="黑体"/>
          <w:b w:val="0"/>
          <w:bCs/>
          <w:sz w:val="24"/>
        </w:rPr>
      </w:pPr>
    </w:p>
    <w:p>
      <w:pPr>
        <w:ind w:left="-718" w:leftChars="-342" w:firstLine="588" w:firstLineChars="245"/>
        <w:rPr>
          <w:rFonts w:hint="eastAsia" w:eastAsia="黑体"/>
          <w:b w:val="0"/>
          <w:bCs/>
          <w:sz w:val="24"/>
        </w:rPr>
      </w:pPr>
    </w:p>
    <w:p>
      <w:pPr>
        <w:ind w:left="-718" w:leftChars="-342" w:firstLine="588" w:firstLineChars="245"/>
        <w:rPr>
          <w:rFonts w:hint="eastAsia" w:eastAsia="黑体"/>
          <w:b w:val="0"/>
          <w:bCs/>
          <w:sz w:val="24"/>
        </w:rPr>
      </w:pPr>
    </w:p>
    <w:p>
      <w:pPr>
        <w:ind w:left="-718" w:leftChars="-342" w:firstLine="588" w:firstLineChars="245"/>
        <w:rPr>
          <w:rFonts w:eastAsia="黑体"/>
          <w:b w:val="0"/>
          <w:bCs/>
          <w:sz w:val="24"/>
        </w:rPr>
      </w:pPr>
      <w:r>
        <w:rPr>
          <w:rFonts w:hint="eastAsia" w:eastAsia="黑体"/>
          <w:b w:val="0"/>
          <w:bCs/>
          <w:sz w:val="24"/>
        </w:rPr>
        <w:t>二、特色专业项目建设方案</w:t>
      </w:r>
    </w:p>
    <w:tbl>
      <w:tblPr>
        <w:tblStyle w:val="3"/>
        <w:tblW w:w="927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279" w:type="dxa"/>
            <w:shd w:val="clear" w:color="auto" w:fill="auto"/>
            <w:vAlign w:val="top"/>
          </w:tcPr>
          <w:p>
            <w:pPr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建设方案概述</w:t>
            </w:r>
            <w:r>
              <w:rPr>
                <w:rFonts w:hint="eastAsia" w:ascii="仿宋_GB2312" w:eastAsia="仿宋_GB2312"/>
                <w:szCs w:val="21"/>
              </w:rPr>
              <w:t>（发展存在的问题、面临的形势、建设目标与思路、主要工作举措和建设进度、主要预期成果等）</w:t>
            </w: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  <w:p>
            <w:pPr>
              <w:rPr>
                <w:rFonts w:eastAsia="黑体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黑体"/>
          <w:b/>
          <w:bCs/>
          <w:sz w:val="24"/>
        </w:rPr>
      </w:pPr>
    </w:p>
    <w:p>
      <w:pPr>
        <w:rPr>
          <w:rFonts w:ascii="Times New Roman" w:hAnsi="Times New Roman" w:eastAsia="黑体"/>
          <w:b/>
          <w:bCs/>
          <w:sz w:val="24"/>
        </w:rPr>
      </w:pPr>
    </w:p>
    <w:p>
      <w:pPr>
        <w:rPr>
          <w:rFonts w:ascii="Times New Roman" w:hAnsi="Times New Roman" w:eastAsia="黑体"/>
          <w:b/>
          <w:bCs/>
          <w:sz w:val="24"/>
        </w:rPr>
      </w:pPr>
    </w:p>
    <w:p>
      <w:pPr>
        <w:rPr>
          <w:rFonts w:ascii="Times New Roman" w:hAnsi="Times New Roman" w:eastAsia="黑体"/>
          <w:b/>
          <w:bCs/>
          <w:sz w:val="24"/>
        </w:rPr>
      </w:pPr>
    </w:p>
    <w:p>
      <w:pPr>
        <w:rPr>
          <w:rFonts w:ascii="Times New Roman" w:hAnsi="Times New Roman" w:eastAsia="黑体"/>
          <w:b/>
          <w:bCs/>
          <w:sz w:val="24"/>
        </w:rPr>
      </w:pPr>
    </w:p>
    <w:p>
      <w:pPr>
        <w:rPr>
          <w:rFonts w:ascii="Times New Roman" w:hAnsi="Times New Roman" w:eastAsia="黑体"/>
          <w:b/>
          <w:bCs/>
          <w:sz w:val="24"/>
        </w:rPr>
      </w:pPr>
      <w:r>
        <w:rPr>
          <w:rFonts w:ascii="Times New Roman" w:hAnsi="Times New Roman" w:eastAsia="黑体"/>
          <w:b/>
          <w:bCs/>
          <w:sz w:val="24"/>
        </w:rPr>
        <w:t>三、审核与批准意见</w:t>
      </w:r>
    </w:p>
    <w:tbl>
      <w:tblPr>
        <w:tblStyle w:val="3"/>
        <w:tblW w:w="9215" w:type="dxa"/>
        <w:tblInd w:w="-3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市级人社部门推荐与审核意见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eastAsia="仿宋"/>
              </w:rPr>
              <w:t xml:space="preserve"> 负责人签名：            （公章）</w:t>
            </w:r>
          </w:p>
          <w:p>
            <w:pPr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                                                            年   月   日</w:t>
            </w:r>
          </w:p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省级专家组评审意见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</w:t>
            </w:r>
            <w:r>
              <w:rPr>
                <w:rFonts w:ascii="Times New Roman" w:hAnsi="Times New Roman" w:eastAsia="仿宋"/>
                <w:b/>
              </w:rPr>
              <w:t xml:space="preserve"> </w:t>
            </w:r>
            <w:r>
              <w:rPr>
                <w:rFonts w:ascii="Times New Roman" w:hAnsi="Times New Roman" w:eastAsia="仿宋"/>
              </w:rPr>
              <w:t>专家组组长签名：</w:t>
            </w:r>
          </w:p>
          <w:p>
            <w:pPr>
              <w:ind w:right="4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</w:rPr>
              <w:t>年   月   日</w:t>
            </w:r>
          </w:p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省级部门批准意见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>
              <w:rPr>
                <w:rFonts w:ascii="Times New Roman" w:hAnsi="Times New Roman" w:eastAsia="仿宋"/>
                <w:b/>
              </w:rPr>
              <w:t xml:space="preserve"> </w:t>
            </w:r>
            <w:r>
              <w:rPr>
                <w:rFonts w:ascii="Times New Roman" w:hAnsi="Times New Roman" w:eastAsia="仿宋"/>
              </w:rPr>
              <w:t xml:space="preserve">江苏省人力资源和社会保障厅（公章）   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</w:rPr>
              <w:t xml:space="preserve">   </w:t>
            </w:r>
            <w:r>
              <w:rPr>
                <w:rFonts w:hint="default" w:ascii="Times New Roman" w:hAnsi="Times New Roman" w:eastAsia="方正仿宋_GBK"/>
              </w:rPr>
              <w:t>江苏省财政厅（公章）</w:t>
            </w:r>
          </w:p>
          <w:p>
            <w:pPr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                    年    月    日              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/>
              </w:rPr>
              <w:t xml:space="preserve">年    月    日 </w:t>
            </w:r>
          </w:p>
          <w:p>
            <w:pPr>
              <w:rPr>
                <w:rFonts w:ascii="Times New Roman" w:hAnsi="Times New Roman"/>
                <w:b/>
              </w:rPr>
            </w:pPr>
          </w:p>
        </w:tc>
      </w:tr>
    </w:tbl>
    <w:p>
      <w:pPr>
        <w:widowControl/>
        <w:spacing w:before="0" w:beforeAutospacing="0" w:after="0" w:afterAutospacing="0" w:line="560" w:lineRule="exact"/>
        <w:jc w:val="left"/>
        <w:rPr>
          <w:rFonts w:hint="default" w:ascii="Times New Roman" w:hAnsi="Times New Roman" w:eastAsia="方正黑体_GBK"/>
          <w:sz w:val="32"/>
          <w:szCs w:val="32"/>
        </w:rPr>
      </w:pPr>
    </w:p>
    <w:p>
      <w:pPr>
        <w:widowControl/>
        <w:spacing w:before="0" w:beforeAutospacing="0" w:after="0" w:afterAutospacing="0" w:line="560" w:lineRule="exact"/>
        <w:jc w:val="left"/>
        <w:rPr>
          <w:rFonts w:hint="default" w:ascii="Times New Roman" w:hAnsi="Times New Roman" w:eastAsia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C1656"/>
    <w:rsid w:val="4AF203CA"/>
    <w:rsid w:val="55E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2020-03-19T09:37:25Z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