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560" w:lineRule="exact"/>
        <w:jc w:val="left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hint="eastAsia" w:ascii="方正小标宋_GBK" w:hAnsi="仿宋_GB2312" w:eastAsia="方正小标宋_GBK"/>
          <w:color w:val="000000"/>
          <w:spacing w:val="-1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仿宋_GB2312" w:eastAsia="方正小标宋_GBK"/>
          <w:color w:val="000000"/>
          <w:spacing w:val="-10"/>
          <w:sz w:val="44"/>
          <w:szCs w:val="44"/>
        </w:rPr>
      </w:pPr>
      <w:r>
        <w:rPr>
          <w:rFonts w:hint="eastAsia" w:ascii="方正小标宋_GBK" w:hAnsi="仿宋_GB2312" w:eastAsia="方正小标宋_GBK"/>
          <w:color w:val="000000"/>
          <w:spacing w:val="-10"/>
          <w:sz w:val="44"/>
          <w:szCs w:val="44"/>
        </w:rPr>
        <w:t>技工教育改革发展示范校项目建设工作方案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60" w:lineRule="exact"/>
        <w:ind w:firstLine="60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-10"/>
          <w:sz w:val="32"/>
          <w:szCs w:val="48"/>
        </w:rPr>
        <w:t>为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贯彻落实</w:t>
      </w:r>
      <w:r>
        <w:rPr>
          <w:rFonts w:ascii="Times New Roman" w:hAnsi="Times New Roman" w:eastAsia="方正仿宋_GBK"/>
          <w:sz w:val="32"/>
          <w:szCs w:val="32"/>
        </w:rPr>
        <w:t>《省委省政府关于聚焦富民持续提高城乡居民收入水平的若干意见》（苏发〔2016〕49号）、《省政府关于供给侧结构性改革补短板的实施意见》（苏政发〔2016〕49号）</w:t>
      </w:r>
      <w:r>
        <w:rPr>
          <w:rFonts w:hint="eastAsia" w:ascii="Times New Roman" w:hAnsi="Times New Roman" w:eastAsia="方正仿宋_GBK"/>
          <w:sz w:val="32"/>
          <w:szCs w:val="32"/>
        </w:rPr>
        <w:t>和</w:t>
      </w:r>
      <w:r>
        <w:rPr>
          <w:rFonts w:ascii="Times New Roman" w:hAnsi="Times New Roman" w:eastAsia="方正仿宋_GBK"/>
          <w:sz w:val="32"/>
          <w:szCs w:val="32"/>
        </w:rPr>
        <w:t>《省政府办公厅关于印发职业技能提升行动计划（2017－2020年）的通知》（苏政办发〔2017〕41号）精神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</w:rPr>
        <w:t>，</w:t>
      </w:r>
      <w:r>
        <w:rPr>
          <w:rFonts w:hint="eastAsia" w:ascii="方正仿宋_GBK" w:eastAsia="方正仿宋_GBK"/>
          <w:sz w:val="32"/>
          <w:szCs w:val="32"/>
        </w:rPr>
        <w:t xml:space="preserve">加快发展现代技工教育事业，建设一批江苏省技工教育改革发展示范校，引领全省技工院校进一步深化改革发展和内涵建设，全面提高教育教学质量，特制定本方案。 </w:t>
      </w:r>
    </w:p>
    <w:p>
      <w:pPr>
        <w:widowControl/>
        <w:spacing w:line="560" w:lineRule="exact"/>
        <w:ind w:firstLine="640" w:firstLineChars="200"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一、建设目标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</w:rPr>
        <w:t>围绕健全完善现代技工教育体系，推动我省技工教育高质量发展，增加优质高端技工教育供给，今年，计划在全省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技工院校</w:t>
      </w:r>
      <w:r>
        <w:rPr>
          <w:rFonts w:hint="default" w:ascii="Times New Roman" w:hAnsi="Times New Roman" w:eastAsia="方正仿宋_GBK"/>
          <w:sz w:val="32"/>
          <w:szCs w:val="32"/>
        </w:rPr>
        <w:t>中评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选6</w:t>
      </w:r>
      <w:r>
        <w:rPr>
          <w:rFonts w:hint="default" w:ascii="Times New Roman" w:hAnsi="Times New Roman" w:eastAsia="方正仿宋_GBK"/>
          <w:sz w:val="32"/>
          <w:szCs w:val="32"/>
        </w:rPr>
        <w:t>所改革发展示范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方正仿宋_GBK"/>
          <w:sz w:val="32"/>
          <w:szCs w:val="32"/>
        </w:rPr>
        <w:t>。学院应坚持“高端引领、校企合作、多元办学、内涵发展”办学理念，开拓创新，不断拓展办学和发展内涵，努力实现技能人才培养与企业需求同频共振、学校发展与产业发展互促融合，成为全省技工院校改革创新、提高质量和办出特色的示范，充分凸显在现代化经济体系建设、振兴实体经济、建设制造强省的重要作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已建院校不得重复申报。</w:t>
      </w:r>
    </w:p>
    <w:p>
      <w:pPr>
        <w:widowControl/>
        <w:spacing w:line="560" w:lineRule="exact"/>
        <w:ind w:firstLine="640" w:firstLineChars="200"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二、主要任务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（一）办学方向。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学校改革发展规划与国家技工教育发展方针、政策保持一致，与地方经济社会发展需求紧密结合，中长期规划科学合理、可行性强。学校着力培养后备产业工人和高技能人才，为建设“强富美高”新江苏提供有力人才支撑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（二）培养模式。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建立校企合作的人才培养机制，企业深度参与专业建设和教学过程，形成多方参与、共同建设、多元评价、充满活力的办学机制。积极开展国际交流与合作，与至少1个境外优质教育机构或行业企业有稳定的合作项目。</w:t>
      </w:r>
    </w:p>
    <w:p>
      <w:pPr>
        <w:widowControl/>
        <w:spacing w:line="560" w:lineRule="exact"/>
        <w:ind w:firstLine="640" w:firstLineChars="200"/>
        <w:jc w:val="left"/>
        <w:rPr>
          <w:rFonts w:ascii="方正楷体_GBK" w:hAnsi="宋体" w:eastAsia="方正楷体_GBK" w:cs="宋体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（三）专业建设。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专业建设有规划、有目标、有方案、有措施、有特色，明确专业建设标准，建设条件保障落实。专业设置主动对接产业发展，设置引导行业发展、职业变化的新兴专业，所有主干专业均形成专业群或产业链。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（四）师资队伍。</w:t>
      </w:r>
      <w:r>
        <w:rPr>
          <w:rFonts w:hint="eastAsia" w:ascii="方正仿宋_GBK" w:eastAsia="方正仿宋_GBK"/>
          <w:sz w:val="32"/>
          <w:szCs w:val="32"/>
        </w:rPr>
        <w:t>建立健全师资团队建设和名师引领的长效机制，打造一支精简高效的学校管理队伍、具有专业前沿知识和先进教育理念的专业带头人队伍、具备教改理念与生本精神的教师队伍。学校教师编制到位，师德高尚，数量充足，结构合理。教师普遍树立现代技工教育理念、具备运用现代信息技术的能力，专业技能和实践水平较高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（五）学校管理。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建立现代学校管理制度，制定长远发展规划，重视教学管理、教学研究和教学督导工作。高技能人才培养方案和教学计划科学合理，教学设备设施管理规范，完好率和使用率高。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（六）就业服务。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建设均等化、标准化、专业化的一站式就业服务平台，建立企业人才发展和需求数据库、毕业生数据库并动态更新，定期发布企业用人需求信息和毕业生信息，促进企业和学生双向对接。学校成为当地相关行业、企业技能型人才培养、培训和输送的重要基地，对当地经济社会发展贡献大、社会声誉高。</w:t>
      </w:r>
    </w:p>
    <w:p>
      <w:pPr>
        <w:widowControl/>
        <w:spacing w:line="560" w:lineRule="exact"/>
        <w:ind w:firstLine="640" w:firstLineChars="200"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三、项目经费。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根据入选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技工院校</w:t>
      </w:r>
      <w:r>
        <w:rPr>
          <w:rFonts w:hint="eastAsia" w:ascii="Times New Roman" w:hAnsi="Times New Roman" w:eastAsia="方正仿宋_GBK"/>
          <w:sz w:val="32"/>
          <w:szCs w:val="32"/>
        </w:rPr>
        <w:t>改革发展和内涵建设情况</w:t>
      </w:r>
      <w:r>
        <w:rPr>
          <w:rFonts w:ascii="Times New Roman" w:hAnsi="Times New Roman" w:eastAsia="方正仿宋_GBK"/>
          <w:sz w:val="32"/>
          <w:szCs w:val="32"/>
        </w:rPr>
        <w:t>，省财政对</w:t>
      </w:r>
      <w:r>
        <w:rPr>
          <w:rFonts w:hint="eastAsia" w:ascii="Times New Roman" w:hAnsi="Times New Roman" w:eastAsia="方正仿宋_GBK"/>
          <w:sz w:val="32"/>
          <w:szCs w:val="32"/>
        </w:rPr>
        <w:t>遴选出来的改革发展示范校</w:t>
      </w:r>
      <w:r>
        <w:rPr>
          <w:rFonts w:ascii="Times New Roman" w:hAnsi="Times New Roman" w:eastAsia="方正仿宋_GBK"/>
          <w:sz w:val="32"/>
          <w:szCs w:val="32"/>
        </w:rPr>
        <w:t>给予</w:t>
      </w:r>
      <w:r>
        <w:rPr>
          <w:rFonts w:hint="eastAsia" w:ascii="Times New Roman" w:hAnsi="Times New Roman" w:eastAsia="方正仿宋_GBK"/>
          <w:sz w:val="32"/>
          <w:szCs w:val="32"/>
        </w:rPr>
        <w:t>100</w:t>
      </w:r>
      <w:r>
        <w:rPr>
          <w:rFonts w:ascii="Times New Roman" w:hAnsi="Times New Roman" w:eastAsia="方正仿宋_GBK"/>
          <w:sz w:val="32"/>
          <w:szCs w:val="32"/>
        </w:rPr>
        <w:t>万元/所的经费支持，</w:t>
      </w:r>
      <w:r>
        <w:rPr>
          <w:rFonts w:hint="eastAsia" w:ascii="Times New Roman" w:hAnsi="Times New Roman" w:eastAsia="方正仿宋_GBK"/>
          <w:sz w:val="32"/>
          <w:szCs w:val="32"/>
        </w:rPr>
        <w:t>示范</w:t>
      </w:r>
      <w:r>
        <w:rPr>
          <w:rFonts w:ascii="Times New Roman" w:hAnsi="Times New Roman" w:eastAsia="方正仿宋_GBK"/>
          <w:sz w:val="32"/>
          <w:szCs w:val="32"/>
        </w:rPr>
        <w:t>校要多渠道筹措</w:t>
      </w:r>
      <w:r>
        <w:rPr>
          <w:rFonts w:hint="eastAsia" w:ascii="Times New Roman" w:hAnsi="Times New Roman" w:eastAsia="方正仿宋_GBK"/>
          <w:sz w:val="32"/>
          <w:szCs w:val="32"/>
        </w:rPr>
        <w:t>发展资金</w:t>
      </w:r>
      <w:r>
        <w:rPr>
          <w:rFonts w:ascii="Times New Roman" w:hAnsi="Times New Roman" w:eastAsia="方正仿宋_GBK"/>
          <w:sz w:val="32"/>
          <w:szCs w:val="32"/>
        </w:rPr>
        <w:t>，积极争取行业、企业和社会各方投入，各设区市应加大</w:t>
      </w:r>
      <w:r>
        <w:rPr>
          <w:rFonts w:hint="eastAsia" w:ascii="Times New Roman" w:hAnsi="Times New Roman" w:eastAsia="方正仿宋_GBK"/>
          <w:sz w:val="32"/>
          <w:szCs w:val="32"/>
        </w:rPr>
        <w:t>建设</w:t>
      </w:r>
      <w:r>
        <w:rPr>
          <w:rFonts w:ascii="Times New Roman" w:hAnsi="Times New Roman" w:eastAsia="方正仿宋_GBK"/>
          <w:sz w:val="32"/>
          <w:szCs w:val="32"/>
        </w:rPr>
        <w:t>扶持力度，共同推动</w:t>
      </w:r>
      <w:r>
        <w:rPr>
          <w:rFonts w:hint="eastAsia" w:ascii="Times New Roman" w:hAnsi="Times New Roman" w:eastAsia="方正仿宋_GBK"/>
          <w:sz w:val="32"/>
          <w:szCs w:val="32"/>
        </w:rPr>
        <w:t>示范校的</w:t>
      </w:r>
      <w:r>
        <w:rPr>
          <w:rFonts w:ascii="Times New Roman" w:hAnsi="Times New Roman" w:eastAsia="方正仿宋_GBK"/>
          <w:sz w:val="32"/>
          <w:szCs w:val="32"/>
        </w:rPr>
        <w:t>建设。</w:t>
      </w:r>
    </w:p>
    <w:p>
      <w:pPr>
        <w:widowControl/>
        <w:spacing w:line="560" w:lineRule="exact"/>
        <w:ind w:firstLine="640" w:firstLineChars="200"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四、项目保障</w:t>
      </w:r>
    </w:p>
    <w:p>
      <w:pPr>
        <w:spacing w:line="590" w:lineRule="exact"/>
        <w:ind w:firstLine="480" w:firstLineChars="150"/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（一）加强组织领导。</w:t>
      </w:r>
      <w:r>
        <w:rPr>
          <w:rFonts w:hint="eastAsia" w:ascii="方正仿宋_GBK" w:eastAsia="方正仿宋_GBK"/>
          <w:sz w:val="32"/>
          <w:szCs w:val="32"/>
        </w:rPr>
        <w:t>入选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技工院校</w:t>
      </w:r>
      <w:r>
        <w:rPr>
          <w:rFonts w:hint="eastAsia" w:ascii="方正仿宋_GBK" w:eastAsia="方正仿宋_GBK"/>
          <w:sz w:val="32"/>
          <w:szCs w:val="32"/>
        </w:rPr>
        <w:t>应建立由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校长</w:t>
      </w:r>
      <w:r>
        <w:rPr>
          <w:rFonts w:hint="eastAsia" w:ascii="方正仿宋_GBK" w:eastAsia="方正仿宋_GBK"/>
          <w:sz w:val="32"/>
          <w:szCs w:val="32"/>
        </w:rPr>
        <w:t>牵头，分管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校长</w:t>
      </w:r>
      <w:r>
        <w:rPr>
          <w:rFonts w:hint="eastAsia" w:ascii="方正仿宋_GBK" w:eastAsia="方正仿宋_GBK"/>
          <w:sz w:val="32"/>
          <w:szCs w:val="32"/>
        </w:rPr>
        <w:t>具体负责的项目实施领导小组，加强对改革发展示范校建设工作的组织领导。要完善项目建设管理制度，健全项目建设推进协调机制，配合专门的工作人员全面系统推进各项建设工作，确保项目建设成效。</w:t>
      </w:r>
    </w:p>
    <w:p>
      <w:pPr>
        <w:widowControl/>
        <w:spacing w:line="590" w:lineRule="exact"/>
        <w:ind w:firstLine="480" w:firstLineChars="150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（二）实施过程管理。</w:t>
      </w:r>
      <w:r>
        <w:rPr>
          <w:rFonts w:hint="eastAsia" w:ascii="方正仿宋_GBK" w:eastAsia="方正仿宋_GBK"/>
          <w:sz w:val="32"/>
          <w:szCs w:val="32"/>
        </w:rPr>
        <w:t>加强对改革发展示范校建设过程的跟踪管理，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相关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技工院校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要制定具体工作方案，明确各阶段工作目标，细化工作举措，定期报送</w:t>
      </w:r>
      <w:r>
        <w:rPr>
          <w:rFonts w:hint="eastAsia" w:ascii="方正仿宋_GBK" w:eastAsia="方正仿宋_GBK"/>
          <w:sz w:val="32"/>
          <w:szCs w:val="32"/>
        </w:rPr>
        <w:t>学制教育、公共实训、竞赛集训、技师研修、技能评价、就业服务等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信息，</w:t>
      </w:r>
      <w:r>
        <w:rPr>
          <w:rFonts w:hint="eastAsia" w:ascii="方正仿宋_GBK" w:eastAsia="方正仿宋_GBK"/>
          <w:sz w:val="32"/>
          <w:szCs w:val="32"/>
        </w:rPr>
        <w:t>为分析、评估建设、运转状况，提高项目实施的有效性提供依据。</w:t>
      </w:r>
    </w:p>
    <w:p>
      <w:pPr>
        <w:spacing w:line="56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（三）强化绩效考核。</w:t>
      </w:r>
      <w:r>
        <w:rPr>
          <w:rFonts w:hint="eastAsia" w:ascii="方正仿宋_GBK" w:eastAsia="方正仿宋_GBK"/>
          <w:sz w:val="32"/>
          <w:szCs w:val="32"/>
        </w:rPr>
        <w:t>由省人力资源和社会保障厅、省财政厅联合对项目进行验收。对建设成效显著、运行机制完善、绩效特别突出的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技工院校</w:t>
      </w:r>
      <w:r>
        <w:rPr>
          <w:rFonts w:hint="eastAsia" w:ascii="方正仿宋_GBK" w:eastAsia="方正仿宋_GBK"/>
          <w:sz w:val="32"/>
          <w:szCs w:val="32"/>
        </w:rPr>
        <w:t>，给予适当奖励。对建设措施不力、</w:t>
      </w:r>
      <w:r>
        <w:rPr>
          <w:rFonts w:hint="eastAsia" w:ascii="方正仿宋_GBK" w:hAnsi="仿宋_GB2312" w:eastAsia="方正仿宋_GBK"/>
          <w:color w:val="000000"/>
          <w:spacing w:val="-10"/>
          <w:sz w:val="32"/>
          <w:szCs w:val="48"/>
        </w:rPr>
        <w:t>绩效不合格的</w:t>
      </w:r>
      <w:r>
        <w:rPr>
          <w:rFonts w:hint="eastAsia" w:ascii="方正仿宋_GBK" w:hAnsi="仿宋_GB2312" w:eastAsia="方正仿宋_GBK"/>
          <w:color w:val="000000"/>
          <w:spacing w:val="-10"/>
          <w:sz w:val="32"/>
          <w:szCs w:val="48"/>
          <w:lang w:val="en-US" w:eastAsia="zh-CN"/>
        </w:rPr>
        <w:t>技工院校</w:t>
      </w:r>
      <w:r>
        <w:rPr>
          <w:rFonts w:hint="eastAsia" w:ascii="方正仿宋_GBK" w:hAnsi="仿宋_GB2312" w:eastAsia="方正仿宋_GBK"/>
          <w:color w:val="000000"/>
          <w:spacing w:val="-10"/>
          <w:sz w:val="32"/>
          <w:szCs w:val="48"/>
        </w:rPr>
        <w:t>，由省人力资源和社会保障厅、省财政厅责令整改，整改仍不合格的，则相应扣回已拨的专项资金。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</w:p>
    <w:p>
      <w:pPr>
        <w:keepNext/>
        <w:keepLines/>
        <w:spacing w:before="340" w:after="330" w:line="360" w:lineRule="auto"/>
        <w:jc w:val="center"/>
        <w:outlineLvl w:val="0"/>
        <w:rPr>
          <w:rFonts w:ascii="方正小标宋_GBK" w:hAnsi="Times New Roman" w:eastAsia="方正小标宋_GBK"/>
          <w:bCs/>
          <w:w w:val="90"/>
          <w:kern w:val="44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w w:val="90"/>
          <w:kern w:val="44"/>
          <w:sz w:val="44"/>
          <w:szCs w:val="44"/>
        </w:rPr>
        <w:t>江苏省技工教育改革发展示范校建设项目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  报  表</w:t>
      </w:r>
    </w:p>
    <w:p>
      <w:pPr>
        <w:spacing w:line="360" w:lineRule="auto"/>
        <w:ind w:left="840" w:leftChars="4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left="840" w:leftChars="4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left="840" w:leftChars="400"/>
        <w:rPr>
          <w:rFonts w:ascii="仿宋_GB2312" w:eastAsia="仿宋_GB2312"/>
          <w:sz w:val="30"/>
          <w:szCs w:val="30"/>
        </w:rPr>
      </w:pPr>
    </w:p>
    <w:tbl>
      <w:tblPr>
        <w:tblStyle w:val="3"/>
        <w:tblW w:w="6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0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申报学校名称 </w:t>
            </w:r>
            <w:r>
              <w:rPr>
                <w:rFonts w:hint="eastAsia" w:ascii="方正仿宋_GBK" w:eastAsia="方正仿宋_GBK"/>
                <w:sz w:val="30"/>
                <w:szCs w:val="30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50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举 办 单 位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    </w:t>
            </w:r>
          </w:p>
        </w:tc>
      </w:tr>
    </w:tbl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ind w:firstLine="1785" w:firstLineChars="850"/>
        <w:jc w:val="left"/>
        <w:outlineLvl w:val="0"/>
        <w:rPr>
          <w:rFonts w:ascii="方正仿宋_GBK" w:eastAsia="方正仿宋_GBK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140335</wp:posOffset>
                </wp:positionV>
                <wp:extent cx="6858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pt;margin-top:11.05pt;height:39pt;width:54pt;z-index:251664384;mso-width-relative:page;mso-height-relative:page;" filled="f" stroked="f" coordsize="21600,21600" o:gfxdata="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19ctfWAAAACgEAAA8AAAAAAAAAAQAgAAAAIgAAAGRycy9kb3ducmV2&#10;LnhtbFBLAQIUABQAAAAIAIdO4kDz/zh2/gEAANQD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eastAsia="方正仿宋_GBK"/>
          <w:sz w:val="30"/>
          <w:szCs w:val="30"/>
        </w:rPr>
        <w:t>江苏省人力资源社会保障厅</w:t>
      </w:r>
    </w:p>
    <w:p>
      <w:pPr>
        <w:ind w:firstLine="1760" w:firstLineChars="550"/>
        <w:outlineLvl w:val="0"/>
        <w:rPr>
          <w:rFonts w:ascii="方正仿宋_GBK" w:eastAsia="方正仿宋_GBK"/>
          <w:spacing w:val="10"/>
          <w:kern w:val="13"/>
          <w:sz w:val="30"/>
          <w:szCs w:val="30"/>
        </w:rPr>
      </w:pPr>
      <w:r>
        <w:rPr>
          <w:rFonts w:hint="eastAsia" w:ascii="方正仿宋_GBK" w:eastAsia="方正仿宋_GBK"/>
          <w:spacing w:val="10"/>
          <w:kern w:val="13"/>
          <w:sz w:val="30"/>
          <w:szCs w:val="30"/>
        </w:rPr>
        <w:t>江  苏  省  财  政  厅</w:t>
      </w:r>
    </w:p>
    <w:p>
      <w:pPr>
        <w:jc w:val="center"/>
        <w:outlineLvl w:val="0"/>
        <w:rPr>
          <w:rFonts w:ascii="仿宋_GB2312" w:eastAsia="仿宋_GB2312"/>
          <w:sz w:val="30"/>
          <w:szCs w:val="30"/>
        </w:rPr>
      </w:pPr>
    </w:p>
    <w:p>
      <w:pPr>
        <w:ind w:firstLine="2850" w:firstLineChars="95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</w:p>
    <w:p>
      <w:pPr>
        <w:widowControl/>
        <w:spacing w:line="360" w:lineRule="auto"/>
        <w:jc w:val="left"/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spacing w:line="590" w:lineRule="exact"/>
        <w:outlineLvl w:val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填报说明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1．学校类型：公办、企业办、民办技工院校；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2．教学行政用房面积：包括办公、教室、实验实训场所、图书馆、体育馆（风雨操场）、会堂等的面积；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3．自筹经费：包括专项经费、社会培训、技术服务等收入费用；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4．兼职教师：指正式聘任来校授课的行业、企业及社会中的专业技术人员和能工巧匠，按承担教学任务160学时折算为1人标准计算；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 xml:space="preserve">5．教学仪器设备：单价在1000元以上的用于教学的仪器设备； 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 xml:space="preserve">6．大型教学仪器设备：单价高于5万元的用于教学的仪器设备； 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7．省级及以上重点专业：指省级示范专业、重点专业（含国家中等职业教育改革发展示范校重点建设专业）；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8. 行业企业经历教师：指专任教师中具有与本专业相关的行业、企业两年以上工作经历的教师。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注：申报学校应如实填写本表各项数据，如有弄虚作假将取消评审资格。</w:t>
      </w:r>
    </w:p>
    <w:p>
      <w:pPr>
        <w:widowControl/>
        <w:jc w:val="left"/>
        <w:rPr>
          <w:rFonts w:ascii="Times New Roman" w:hAnsi="Times New Roman" w:eastAsia="仿宋_GB2312"/>
          <w:bCs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ascii="Times New Roman" w:hAnsi="Times New Roman" w:eastAsia="黑体"/>
          <w:bCs/>
          <w:sz w:val="24"/>
        </w:rPr>
      </w:pPr>
      <w:r>
        <w:rPr>
          <w:rFonts w:hint="default" w:ascii="Times New Roman" w:hAnsi="Times New Roman" w:eastAsia="黑体"/>
          <w:bCs/>
          <w:sz w:val="24"/>
        </w:rPr>
        <w:t>一、申报学校基本情况</w:t>
      </w:r>
    </w:p>
    <w:tbl>
      <w:tblPr>
        <w:tblStyle w:val="3"/>
        <w:tblW w:w="910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90"/>
        <w:gridCol w:w="147"/>
        <w:gridCol w:w="624"/>
        <w:gridCol w:w="601"/>
        <w:gridCol w:w="57"/>
        <w:gridCol w:w="241"/>
        <w:gridCol w:w="900"/>
        <w:gridCol w:w="31"/>
        <w:gridCol w:w="171"/>
        <w:gridCol w:w="223"/>
        <w:gridCol w:w="418"/>
        <w:gridCol w:w="57"/>
        <w:gridCol w:w="331"/>
        <w:gridCol w:w="569"/>
        <w:gridCol w:w="27"/>
        <w:gridCol w:w="873"/>
        <w:gridCol w:w="871"/>
        <w:gridCol w:w="29"/>
        <w:gridCol w:w="17"/>
        <w:gridCol w:w="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  <w:r>
              <w:rPr>
                <w:rFonts w:hint="default" w:ascii="Times New Roman" w:hAnsi="Times New Roman" w:eastAsia="黑体"/>
                <w:b/>
                <w:position w:val="6"/>
              </w:rPr>
              <w:t>基本信息</w:t>
            </w:r>
          </w:p>
        </w:tc>
        <w:tc>
          <w:tcPr>
            <w:tcW w:w="153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学校名称</w:t>
            </w:r>
          </w:p>
        </w:tc>
        <w:tc>
          <w:tcPr>
            <w:tcW w:w="6990" w:type="dxa"/>
            <w:gridSpan w:val="1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举 办 方</w:t>
            </w:r>
          </w:p>
        </w:tc>
        <w:tc>
          <w:tcPr>
            <w:tcW w:w="242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全日制在校学生（人）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2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学校类型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通信地址</w:t>
            </w:r>
          </w:p>
        </w:tc>
        <w:tc>
          <w:tcPr>
            <w:tcW w:w="699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项目负责人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信息</w:t>
            </w: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姓      名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职务职称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办公室电话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传  真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手      机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E-mail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  <w:r>
              <w:rPr>
                <w:rFonts w:hint="default" w:ascii="Times New Roman" w:hAnsi="Times New Roman" w:eastAsia="黑体"/>
                <w:b/>
                <w:position w:val="6"/>
              </w:rPr>
              <w:t>面积与仪器</w:t>
            </w: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学校占地面积（亩）</w:t>
            </w:r>
          </w:p>
        </w:tc>
        <w:tc>
          <w:tcPr>
            <w:tcW w:w="1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总建筑面积（平方米）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校舍建筑面积（平方米）</w:t>
            </w:r>
          </w:p>
        </w:tc>
        <w:tc>
          <w:tcPr>
            <w:tcW w:w="1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w w:val="95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教学行政用房面积（平方米）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w w:val="95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实验实训场所占地面积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（平方米）</w:t>
            </w:r>
          </w:p>
        </w:tc>
        <w:tc>
          <w:tcPr>
            <w:tcW w:w="1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w w:val="95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实验实训场所建筑面积（平方米）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w w:val="95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教学仪器设备</w:t>
            </w:r>
          </w:p>
        </w:tc>
        <w:tc>
          <w:tcPr>
            <w:tcW w:w="1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总值（万元）</w:t>
            </w: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大型教学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仪器设备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数量（台／套）</w:t>
            </w:r>
          </w:p>
        </w:tc>
        <w:tc>
          <w:tcPr>
            <w:tcW w:w="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生均（元）</w:t>
            </w: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5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总值（万元）</w:t>
            </w:r>
          </w:p>
        </w:tc>
        <w:tc>
          <w:tcPr>
            <w:tcW w:w="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实验实训设备的使用率（％）</w:t>
            </w:r>
          </w:p>
        </w:tc>
        <w:tc>
          <w:tcPr>
            <w:tcW w:w="576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  <w:r>
              <w:rPr>
                <w:rFonts w:hint="default" w:ascii="Times New Roman" w:hAnsi="Times New Roman" w:eastAsia="黑体"/>
                <w:b/>
                <w:position w:val="6"/>
              </w:rPr>
              <w:t>办学经费与师资</w:t>
            </w:r>
          </w:p>
        </w:tc>
        <w:tc>
          <w:tcPr>
            <w:tcW w:w="306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pacing w:val="2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/>
                <w:w w:val="90"/>
                <w:szCs w:val="21"/>
              </w:rPr>
              <w:t>近三年办学经费相关数据</w:t>
            </w:r>
          </w:p>
        </w:tc>
        <w:tc>
          <w:tcPr>
            <w:tcW w:w="27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总额（万元）</w:t>
            </w:r>
          </w:p>
        </w:tc>
        <w:tc>
          <w:tcPr>
            <w:tcW w:w="2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生均（元）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20"/>
                <w:w w:val="9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财政拨款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学费（含住宿费）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自筹经费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其它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21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教职工总数（人）</w:t>
            </w:r>
          </w:p>
        </w:tc>
        <w:tc>
          <w:tcPr>
            <w:tcW w:w="18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专任教师数（人）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21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兼职教师数（人）</w:t>
            </w:r>
          </w:p>
        </w:tc>
        <w:tc>
          <w:tcPr>
            <w:tcW w:w="18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Chars="-42" w:right="420" w:hanging="88" w:hangingChars="42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具有行业企业经历的教师数（人）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519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2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“一体化”教师数（人）</w:t>
            </w:r>
          </w:p>
        </w:tc>
        <w:tc>
          <w:tcPr>
            <w:tcW w:w="3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3"/>
        <w:tblW w:w="91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7" w:hRule="atLeast"/>
          <w:jc w:val="center"/>
        </w:trPr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  <w:r>
              <w:rPr>
                <w:rFonts w:hint="default" w:ascii="Times New Roman" w:hAnsi="Times New Roman" w:eastAsia="黑体"/>
                <w:b/>
                <w:bCs/>
                <w:position w:val="6"/>
              </w:rPr>
              <w:t>建设基础</w:t>
            </w:r>
          </w:p>
        </w:tc>
        <w:tc>
          <w:tcPr>
            <w:tcW w:w="855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主要从</w:t>
            </w:r>
            <w:r>
              <w:rPr>
                <w:rFonts w:hint="eastAsia" w:ascii="Times New Roman" w:hAnsi="Times New Roman" w:eastAsia="仿宋_GB2312"/>
                <w:szCs w:val="21"/>
              </w:rPr>
              <w:t>办学方向、培养模式、专业建设、师资队伍、学校管理</w:t>
            </w:r>
            <w:r>
              <w:rPr>
                <w:rFonts w:hint="default" w:ascii="Times New Roman" w:hAnsi="Times New Roman" w:eastAsia="仿宋_GB2312"/>
                <w:szCs w:val="21"/>
              </w:rPr>
              <w:t>、就业服务六个方面描述近三年</w:t>
            </w:r>
            <w:r>
              <w:rPr>
                <w:rFonts w:hint="eastAsia" w:ascii="Times New Roman" w:hAnsi="Times New Roman" w:eastAsia="仿宋_GB2312"/>
                <w:szCs w:val="21"/>
              </w:rPr>
              <w:t>能在全省技工院校中形成示范性和引领性的工作</w:t>
            </w:r>
            <w:r>
              <w:rPr>
                <w:rFonts w:hint="default" w:ascii="Times New Roman" w:hAnsi="Times New Roman" w:eastAsia="仿宋_GB2312"/>
                <w:szCs w:val="21"/>
              </w:rPr>
              <w:t>。</w:t>
            </w:r>
          </w:p>
        </w:tc>
      </w:tr>
    </w:tbl>
    <w:p>
      <w:pPr>
        <w:ind w:left="-718" w:leftChars="-342" w:firstLine="588" w:firstLineChars="245"/>
        <w:rPr>
          <w:rFonts w:ascii="Times New Roman" w:hAnsi="Times New Roman" w:eastAsia="黑体"/>
          <w:b/>
          <w:bCs/>
          <w:sz w:val="24"/>
        </w:rPr>
      </w:pPr>
      <w:r>
        <w:rPr>
          <w:rFonts w:hint="default" w:ascii="Times New Roman" w:hAnsi="Times New Roman" w:eastAsia="黑体"/>
          <w:b/>
          <w:bCs/>
          <w:sz w:val="24"/>
        </w:rPr>
        <w:t>二、技工教育改革发展示范校项目建设方案</w:t>
      </w:r>
    </w:p>
    <w:tbl>
      <w:tblPr>
        <w:tblStyle w:val="3"/>
        <w:tblW w:w="92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927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szCs w:val="21"/>
              </w:rPr>
              <w:t>建设方案概述</w:t>
            </w:r>
            <w:r>
              <w:rPr>
                <w:rFonts w:hint="default" w:ascii="Times New Roman" w:hAnsi="Times New Roman" w:eastAsia="仿宋_GB2312"/>
                <w:szCs w:val="21"/>
              </w:rPr>
              <w:t>（改革发展存在的问题、面临的形势、建设目标与思路、主要工作举措和建设进度、主要预期成果等）</w:t>
            </w: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</w:tbl>
    <w:p>
      <w:pPr>
        <w:ind w:left="-718" w:leftChars="-342" w:firstLine="588" w:firstLineChars="245"/>
        <w:rPr>
          <w:rFonts w:ascii="Times New Roman" w:hAnsi="Times New Roman" w:eastAsia="黑体"/>
          <w:b/>
          <w:bCs/>
          <w:sz w:val="24"/>
        </w:rPr>
      </w:pPr>
    </w:p>
    <w:p>
      <w:pPr>
        <w:rPr>
          <w:rFonts w:ascii="Times New Roman" w:hAnsi="Times New Roman" w:eastAsia="黑体"/>
          <w:b/>
          <w:bCs/>
          <w:sz w:val="24"/>
        </w:rPr>
      </w:pPr>
      <w:r>
        <w:rPr>
          <w:rFonts w:hint="default" w:ascii="Times New Roman" w:hAnsi="Times New Roman" w:eastAsia="黑体"/>
          <w:b/>
          <w:bCs/>
          <w:sz w:val="24"/>
        </w:rPr>
        <w:t>三、审核与批准意见</w:t>
      </w:r>
    </w:p>
    <w:tbl>
      <w:tblPr>
        <w:tblStyle w:val="3"/>
        <w:tblW w:w="9215" w:type="dxa"/>
        <w:tblInd w:w="-3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</w:rPr>
              <w:t>市级人社部门推荐与审核意见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09" w:firstLineChars="195"/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eastAsia="仿宋"/>
              </w:rPr>
              <w:t xml:space="preserve"> </w:t>
            </w:r>
            <w:r>
              <w:rPr>
                <w:rFonts w:hint="default" w:ascii="Times New Roman" w:hAnsi="Times New Roman" w:eastAsia="仿宋"/>
              </w:rPr>
              <w:t>负责人签名：</w:t>
            </w:r>
            <w:r>
              <w:rPr>
                <w:rFonts w:ascii="Times New Roman" w:hAnsi="Times New Roman" w:eastAsia="仿宋"/>
              </w:rPr>
              <w:t xml:space="preserve">            </w:t>
            </w:r>
            <w:r>
              <w:rPr>
                <w:rFonts w:hint="default" w:ascii="Times New Roman" w:hAnsi="Times New Roman" w:eastAsia="仿宋"/>
              </w:rPr>
              <w:t>（公章）</w:t>
            </w: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                             </w:t>
            </w:r>
            <w:r>
              <w:rPr>
                <w:rFonts w:hint="default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default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default" w:ascii="Times New Roman" w:hAnsi="Times New Roman" w:eastAsia="仿宋"/>
              </w:rPr>
              <w:t>日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</w:rPr>
              <w:t>省级专家组评审意见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</w:t>
            </w:r>
            <w:r>
              <w:rPr>
                <w:rFonts w:ascii="Times New Roman" w:hAnsi="Times New Roman" w:eastAsia="仿宋"/>
                <w:b/>
              </w:rPr>
              <w:t xml:space="preserve"> </w:t>
            </w:r>
            <w:r>
              <w:rPr>
                <w:rFonts w:hint="default" w:ascii="Times New Roman" w:hAnsi="Times New Roman" w:eastAsia="仿宋"/>
              </w:rPr>
              <w:t>专家组组长签名：</w:t>
            </w:r>
          </w:p>
          <w:p>
            <w:pPr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default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default" w:ascii="Times New Roman" w:hAnsi="Times New Roman" w:eastAsia="仿宋"/>
              </w:rPr>
              <w:t>日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</w:rPr>
              <w:t>省级部门批准意见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hint="default"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eastAsia="仿宋"/>
                <w:b/>
              </w:rPr>
              <w:t xml:space="preserve"> </w:t>
            </w:r>
            <w:r>
              <w:rPr>
                <w:rFonts w:hint="default" w:ascii="Times New Roman" w:hAnsi="Times New Roman" w:eastAsia="仿宋"/>
              </w:rPr>
              <w:t>江苏省人力资源和社会保障厅（公章）</w:t>
            </w:r>
            <w:r>
              <w:rPr>
                <w:rFonts w:ascii="Times New Roman" w:hAnsi="Times New Roman" w:eastAsia="仿宋"/>
              </w:rPr>
              <w:t xml:space="preserve">       </w:t>
            </w:r>
            <w:r>
              <w:rPr>
                <w:rFonts w:hint="default" w:ascii="Times New Roman" w:hAnsi="Times New Roman" w:eastAsia="方正仿宋_GBK"/>
              </w:rPr>
              <w:t xml:space="preserve"> 江苏省财政厅（公章）</w:t>
            </w:r>
            <w:r>
              <w:rPr>
                <w:rFonts w:ascii="Times New Roman" w:hAnsi="Times New Roman" w:eastAsia="仿宋"/>
              </w:rPr>
              <w:t xml:space="preserve">     </w:t>
            </w:r>
          </w:p>
          <w:p>
            <w:pPr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</w:t>
            </w:r>
            <w:r>
              <w:rPr>
                <w:rFonts w:hint="default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default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default" w:ascii="Times New Roman" w:hAnsi="Times New Roman" w:eastAsia="仿宋"/>
              </w:rPr>
              <w:t>日</w:t>
            </w:r>
            <w:r>
              <w:rPr>
                <w:rFonts w:ascii="Times New Roman" w:hAnsi="Times New Roman" w:eastAsia="仿宋"/>
              </w:rPr>
              <w:t xml:space="preserve">                  </w:t>
            </w:r>
            <w:r>
              <w:rPr>
                <w:rFonts w:hint="default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default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default" w:ascii="Times New Roman" w:hAnsi="Times New Roman" w:eastAsia="仿宋"/>
              </w:rPr>
              <w:t>日</w:t>
            </w:r>
            <w:r>
              <w:rPr>
                <w:rFonts w:ascii="Times New Roman" w:hAnsi="Times New Roman" w:eastAsia="仿宋"/>
              </w:rPr>
              <w:t xml:space="preserve">  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071DE"/>
    <w:rsid w:val="7B8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2020-03-19T09:38:30Z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