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19" w:rsidRPr="002F4F19" w:rsidRDefault="002F4F19" w:rsidP="002F4F19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bookmarkStart w:id="0" w:name="_GoBack"/>
      <w:bookmarkEnd w:id="0"/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>附件：</w:t>
      </w:r>
    </w:p>
    <w:p w:rsidR="002F4F19" w:rsidRPr="002F4F19" w:rsidRDefault="002F4F19" w:rsidP="002F4F19">
      <w:pPr>
        <w:widowControl/>
        <w:spacing w:before="100" w:beforeAutospacing="1" w:after="100" w:afterAutospacing="1" w:line="379" w:lineRule="auto"/>
        <w:jc w:val="center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2F4F19">
        <w:rPr>
          <w:rFonts w:ascii="Arial" w:eastAsia="宋体" w:hAnsi="Arial" w:cs="Arial"/>
          <w:color w:val="0000FF"/>
          <w:kern w:val="0"/>
          <w:sz w:val="24"/>
          <w:szCs w:val="24"/>
        </w:rPr>
        <w:t>享受免税的服务外包业务具体范围</w:t>
      </w:r>
    </w:p>
    <w:p w:rsidR="002F4F19" w:rsidRPr="002F4F19" w:rsidRDefault="002F4F19" w:rsidP="002F4F19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　　一、信息技术外包服务（</w:t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>ITO</w:t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>）</w:t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br/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　　（一）软件研发及外包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5887"/>
      </w:tblGrid>
      <w:tr w:rsidR="002F4F19" w:rsidRPr="002F4F19">
        <w:trPr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类　别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适用范围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软件研发及开发服务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用于金融、政府、教育、制造业、零售、服务、能源、物流、交通、媒体、电信、公共事业和医疗卫生等部门和企业，为用户的运营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/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生产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/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供应链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/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客户关系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/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人力资源和财务管理、计算机辅助设计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/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工程等业务进行软件开发，包括定制软件开发，嵌入式软件、套装软件开发，系统软件开发、软件测试等。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软件技术服务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软件咨询、维护、培训、测试等技术性服务。</w:t>
            </w:r>
          </w:p>
        </w:tc>
      </w:tr>
    </w:tbl>
    <w:p w:rsidR="002F4F19" w:rsidRPr="002F4F19" w:rsidRDefault="002F4F19" w:rsidP="002F4F19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    </w:t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>（二）信息技术研发服务外包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5955"/>
      </w:tblGrid>
      <w:tr w:rsidR="002F4F19" w:rsidRPr="002F4F19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类　别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适用范围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集成电路和电子电路设计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集成电路和电子电路产品设计以及相关技术支持服务等。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测试平台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为软件、集成电路和电子电路的开发运用提供测试平台。</w:t>
            </w:r>
          </w:p>
        </w:tc>
      </w:tr>
    </w:tbl>
    <w:p w:rsidR="002F4F19" w:rsidRPr="002F4F19" w:rsidRDefault="002F4F19" w:rsidP="002F4F19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　　（三）信息系统运营维护外包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5955"/>
      </w:tblGrid>
      <w:tr w:rsidR="002F4F19" w:rsidRPr="002F4F19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类　别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适用范围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信息系统运营和维护服务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客户内部信息系统集成、网络管理、桌面管理与维护服务；信息工程、地理信息系统、远程维护等信息系统应用服务。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基础信息技术服务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基础信息技术管理平台整合、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IT</w:t>
            </w: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基础设施管理、数据中心、托管中心、安全服务、通讯服务等基础信息技术服务。</w:t>
            </w:r>
          </w:p>
        </w:tc>
      </w:tr>
    </w:tbl>
    <w:p w:rsidR="002F4F19" w:rsidRPr="002F4F19" w:rsidRDefault="002F4F19" w:rsidP="002F4F19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　　二、技术性业务流程外包服务（</w:t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>BPO</w:t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>）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5627"/>
      </w:tblGrid>
      <w:tr w:rsidR="002F4F19" w:rsidRPr="002F4F19">
        <w:trPr>
          <w:tblCellSpacing w:w="0" w:type="dxa"/>
          <w:jc w:val="center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lastRenderedPageBreak/>
              <w:t>类别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适用范围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企业业务流程设计服务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为客户企业提供内部管理、业务运作等流程设计服务。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企业内部管理服务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为客户企业提供后台管理、人力资源管理、财务、审计与税务管理、金融支付服务、医疗数据及其他内部管理业务的数据分析、数据挖掘、数据管理、数据使用的服务；承接客户专业数据处理、分析和整合服务。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企业运营服务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为客户企业提供技术研发服务、为企业经营、销售、产品售后服务提供的应用客户分析、数据库管理等服务。主要包括金融服务业务、政务与教育业务、制造业务和生命科学、零售和批发与运输业务、卫生保健业务、通讯与公共事业业务、呼叫中心、电子商务平台等。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企业供应链管理服务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为客户提供采购、物流的整体方案设计及数据库服务。</w:t>
            </w:r>
          </w:p>
        </w:tc>
      </w:tr>
    </w:tbl>
    <w:p w:rsidR="002F4F19" w:rsidRPr="002F4F19" w:rsidRDefault="002F4F19" w:rsidP="002F4F19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　　三、技术性知识流程外包服务（</w:t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>KPO</w:t>
      </w:r>
      <w:r w:rsidRPr="002F4F19">
        <w:rPr>
          <w:rFonts w:ascii="Arial" w:eastAsia="宋体" w:hAnsi="Arial" w:cs="Arial"/>
          <w:color w:val="454545"/>
          <w:kern w:val="0"/>
          <w:sz w:val="20"/>
          <w:szCs w:val="20"/>
        </w:rPr>
        <w:t>）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2F4F19" w:rsidRPr="002F4F19">
        <w:trPr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适用范围</w:t>
            </w:r>
          </w:p>
        </w:tc>
      </w:tr>
      <w:tr w:rsidR="002F4F19" w:rsidRPr="002F4F19">
        <w:trPr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4F19" w:rsidRPr="002F4F19" w:rsidRDefault="002F4F19" w:rsidP="002F4F19">
            <w:pPr>
              <w:widowControl/>
              <w:spacing w:before="100" w:beforeAutospacing="1" w:after="100" w:afterAutospacing="1" w:line="379" w:lineRule="auto"/>
              <w:jc w:val="left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 xml:space="preserve">　　知识产权研究、医药和生物技术研发和测试、产品技术研发、工业设计、分析学和数据挖掘、</w:t>
            </w:r>
            <w:proofErr w:type="gramStart"/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动漫及网游设计</w:t>
            </w:r>
            <w:proofErr w:type="gramEnd"/>
            <w:r w:rsidRPr="002F4F19">
              <w:rPr>
                <w:rFonts w:ascii="Arial" w:eastAsia="宋体" w:hAnsi="Arial" w:cs="Arial"/>
                <w:color w:val="454545"/>
                <w:kern w:val="0"/>
                <w:sz w:val="20"/>
                <w:szCs w:val="20"/>
              </w:rPr>
              <w:t>研发、教育课件研发、工程设计等领域。</w:t>
            </w:r>
          </w:p>
        </w:tc>
      </w:tr>
    </w:tbl>
    <w:p w:rsidR="00154C11" w:rsidRDefault="002F4F19">
      <w:pPr>
        <w:rPr>
          <w:rFonts w:hint="eastAsia"/>
        </w:rPr>
      </w:pPr>
    </w:p>
    <w:sectPr w:rsidR="00154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55"/>
    <w:rsid w:val="00024B55"/>
    <w:rsid w:val="002F4F19"/>
    <w:rsid w:val="007C4DA2"/>
    <w:rsid w:val="00F7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ponder-A01</dc:creator>
  <cp:keywords/>
  <dc:description/>
  <cp:lastModifiedBy>ponder-A01</cp:lastModifiedBy>
  <cp:revision>3</cp:revision>
  <dcterms:created xsi:type="dcterms:W3CDTF">2014-03-20T02:02:00Z</dcterms:created>
  <dcterms:modified xsi:type="dcterms:W3CDTF">2014-03-20T02:02:00Z</dcterms:modified>
</cp:coreProperties>
</file>